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D1FA643" Type="http://schemas.openxmlformats.org/officeDocument/2006/relationships/officeDocument" Target="/word/document.xml" /><Relationship Id="coreR6D1FA643" Type="http://schemas.openxmlformats.org/package/2006/relationships/metadata/core-properties" Target="/docProps/core.xml" /><Relationship Id="customR6D1FA6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295"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Update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95"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 xml:space="preserve">Updated standard references. Removed all named manufacturers and replaced them with performance specifications. (CPD)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r>
        <w:t>]</w:t>
      </w:r>
    </w:p>
    <w:p>
      <w:pPr>
        <w:pStyle w:val="P36"/>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7"/>
        <w:numPr>
          <w:ilvl w:val="3"/>
          <w:numId w:val="22"/>
        </w:numPr>
        <w:tabs>
          <w:tab w:val="left" w:pos="1418" w:leader="none"/>
        </w:tabs>
      </w:pPr>
      <w:r>
        <w:t>Section 01300 – Submittals</w:t>
      </w:r>
    </w:p>
    <w:p>
      <w:pPr>
        <w:pStyle w:val="P37"/>
        <w:numPr>
          <w:ilvl w:val="3"/>
          <w:numId w:val="22"/>
        </w:numPr>
        <w:tabs>
          <w:tab w:val="left" w:pos="1418" w:leader="none"/>
        </w:tabs>
      </w:pPr>
      <w:r>
        <w:t>Section 03300 – Cast in Place concrete</w:t>
      </w:r>
    </w:p>
    <w:p>
      <w:pPr>
        <w:pStyle w:val="P37"/>
        <w:numPr>
          <w:ilvl w:val="3"/>
          <w:numId w:val="22"/>
        </w:numPr>
        <w:tabs>
          <w:tab w:val="left" w:pos="1418" w:leader="none"/>
        </w:tabs>
      </w:pPr>
      <w:r>
        <w:t>Section 07840 – Fire Stopping</w:t>
      </w:r>
    </w:p>
    <w:p>
      <w:pPr>
        <w:pStyle w:val="P37"/>
        <w:numPr>
          <w:ilvl w:val="3"/>
          <w:numId w:val="22"/>
        </w:numPr>
        <w:tabs>
          <w:tab w:val="left" w:pos="1418" w:leader="none"/>
        </w:tabs>
      </w:pPr>
      <w:r>
        <w:t>Section 07900 – Joint Sealers</w:t>
      </w:r>
    </w:p>
    <w:p>
      <w:pPr>
        <w:pStyle w:val="P35"/>
      </w:pPr>
      <w:r>
        <w:t>References</w:t>
      </w:r>
    </w:p>
    <w:p>
      <w:pPr>
        <w:pStyle w:val="P36"/>
      </w:pPr>
      <w:r>
        <w:t>Comply with the latest edition of the following statutes codes and standards and all amendments thereto.</w:t>
      </w:r>
    </w:p>
    <w:p>
      <w:pPr>
        <w:pStyle w:val="P37"/>
      </w:pPr>
      <w:r>
        <w:t>ASTM A240/A240M-16a, Standard Specification for Chromium and Chromium-Nickel Stainless Steel Plate, Sheet, and Strip for Pressure Vessels and for General Applications</w:t>
      </w:r>
    </w:p>
    <w:p>
      <w:pPr>
        <w:pStyle w:val="P37"/>
      </w:pPr>
      <w:r>
        <w:t>ASTM D412-16, Standard Test Methods for Vulcanized Rubber and Thermoplastic Elastomers – Tension.</w:t>
      </w:r>
    </w:p>
    <w:p>
      <w:pPr>
        <w:pStyle w:val="P37"/>
      </w:pPr>
      <w:r>
        <w:t>ASTM D2240-15, Standard Test Method for Rubber Property – Durometer Hardness.</w:t>
      </w:r>
    </w:p>
    <w:p>
      <w:pPr>
        <w:pStyle w:val="P37"/>
      </w:pPr>
      <w:r>
        <w:t>ASTM D2628-91(2016), Standard Specification for Preformed Polychloroprene Elastomeric Joint Seals for Concrete Pavements.</w:t>
      </w:r>
    </w:p>
    <w:p>
      <w:pPr>
        <w:pStyle w:val="P35"/>
      </w:pPr>
      <w:r>
        <w:t>Design Requirements</w:t>
      </w:r>
    </w:p>
    <w:p>
      <w:pPr>
        <w:pStyle w:val="P36"/>
        <w:tabs>
          <w:tab w:val="left" w:pos="1418" w:leader="none"/>
          <w:tab w:val="clear" w:pos="1440" w:leader="none"/>
        </w:tabs>
        <w:ind w:hanging="709" w:left="1418"/>
      </w:pPr>
      <w:r>
        <w:t xml:space="preserve">Joint movement: design to permit unrestricted </w:t>
      </w:r>
      <w:r>
        <w:rPr>
          <w:highlight w:val="yellow"/>
        </w:rPr>
        <w:t>[lateral] [vertical] [omnidirectional] [movement of up to [50%] [____]</w:t>
      </w:r>
      <w:r>
        <w:t xml:space="preserve"> of joint width without disengagement of cover.</w:t>
      </w:r>
    </w:p>
    <w:p>
      <w:pPr>
        <w:pStyle w:val="P36"/>
      </w:pPr>
      <w:r>
        <w:t>Allowable load on floor joint cover plate shall be 4.8 kiloNewtons/m</w:t>
      </w:r>
      <w:r>
        <w:rPr>
          <w:vertAlign w:val="superscript"/>
        </w:rPr>
        <w:t>2</w:t>
      </w:r>
      <w:r>
        <w:t xml:space="preserve"> uniform load and 136 kilogram concentrated load with maximum 82.7 megaNewtons/m</w:t>
      </w:r>
      <w:r>
        <w:rPr>
          <w:vertAlign w:val="superscript"/>
        </w:rPr>
        <w:t>2</w:t>
      </w:r>
      <w:r>
        <w:t xml:space="preserve"> stress (6063T5 aluminum extrusions) at full open position. Deflection shall be 3 mm at neutral position.</w:t>
      </w:r>
    </w:p>
    <w:p>
      <w:pPr>
        <w:pStyle w:val="P36"/>
      </w:pPr>
      <w:r>
        <w:t>Centering Bars shall have nylon spheres which fully engage in the base members’ tracks.</w:t>
      </w:r>
    </w:p>
    <w:p>
      <w:pPr>
        <w:pStyle w:val="P36"/>
        <w:numPr>
          <w:ilvl w:val="2"/>
          <w:numId w:val="23"/>
        </w:numPr>
        <w:tabs>
          <w:tab w:val="left" w:pos="1418" w:leader="none"/>
          <w:tab w:val="clear" w:pos="1440" w:leader="none"/>
        </w:tabs>
      </w:pPr>
      <w:r>
        <w:t xml:space="preserve">Service Temperature: design exterior expansion joint cover assemblies to accommodate joint movements within service temperature range of </w:t>
      </w:r>
      <w:r>
        <w:rPr>
          <w:highlight w:val="yellow"/>
        </w:rPr>
        <w:t>[-35 degrees C]</w:t>
      </w:r>
      <w:r>
        <w:t xml:space="preserve"> to </w:t>
      </w:r>
      <w:r>
        <w:rPr>
          <w:highlight w:val="yellow"/>
        </w:rPr>
        <w:t>[65 degrees C] [____].</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Indicate lengths, fasteners, accessories, anchors, seals. Joints, joint locations, finishes and profiles required for each location.</w:t>
      </w:r>
    </w:p>
    <w:p>
      <w:pPr>
        <w:pStyle w:val="P36"/>
      </w:pPr>
      <w:r>
        <w:t>Submit manufacturer’s specifications and technical data, including Material Safety Data Sheets, installation instructions, and, as required, catalog cuts and templates to explain construction and to provide for incorporation of the product into the project.</w:t>
      </w:r>
    </w:p>
    <w:p>
      <w:pPr>
        <w:pStyle w:val="P36"/>
        <w:tabs>
          <w:tab w:val="left" w:pos="1418" w:leader="none"/>
          <w:tab w:val="clear" w:pos="1440" w:leader="none"/>
        </w:tabs>
        <w:ind w:hanging="709" w:left="1418"/>
      </w:pPr>
      <w:r>
        <w:t>Submit 2 samples 150 mm long of each expansion joint cover assembly.</w:t>
      </w:r>
    </w:p>
    <w:p>
      <w:pPr>
        <w:pStyle w:val="P35"/>
      </w:pPr>
      <w:r>
        <w:t>Quality Assurance</w:t>
      </w:r>
    </w:p>
    <w:p>
      <w:pPr>
        <w:pStyle w:val="P36"/>
      </w:pPr>
      <w:r>
        <w:t>Certificates: product certificates signed by manufacturer certifying materials comply with specified performance characteristics and criteria and physical requirements.</w:t>
      </w:r>
    </w:p>
    <w:p>
      <w:pPr>
        <w:pStyle w:val="P36"/>
      </w:pPr>
      <w:r>
        <w:t>Submit certificates, copies of independent test reports, or research reports showing compliance with specified performance requirements.</w:t>
      </w:r>
    </w:p>
    <w:p>
      <w:pPr>
        <w:pStyle w:val="P35"/>
      </w:pPr>
      <w:r>
        <w:t>Delivery And Storage</w:t>
      </w:r>
    </w:p>
    <w:p>
      <w:pPr>
        <w:pStyle w:val="P36"/>
      </w:pPr>
      <w:r>
        <w:t>Deliver products in original intact labeled containers and store undercover in a dry location until installed.</w:t>
      </w:r>
    </w:p>
    <w:p>
      <w:pPr>
        <w:pStyle w:val="P36"/>
      </w:pPr>
      <w:r>
        <w:t>Store off ground, protect from weather and construction activities.</w:t>
      </w:r>
    </w:p>
    <w:p>
      <w:pPr>
        <w:pStyle w:val="P34"/>
      </w:pPr>
      <w:r>
        <w:t>PRODUCTS</w:t>
      </w:r>
    </w:p>
    <w:p>
      <w:pPr>
        <w:pStyle w:val="P35"/>
      </w:pPr>
      <w:r>
        <w:t>Materials</w:t>
      </w:r>
    </w:p>
    <w:p>
      <w:pPr>
        <w:pStyle w:val="P36"/>
        <w:tabs>
          <w:tab w:val="left" w:pos="1418" w:leader="none"/>
          <w:tab w:val="clear" w:pos="1440" w:leader="none"/>
        </w:tabs>
        <w:ind w:hanging="709" w:left="1418"/>
      </w:pPr>
      <w:r>
        <w:t>Aluminum extrusions: alloy and temper to suit project requirements.</w:t>
      </w:r>
    </w:p>
    <w:p>
      <w:pPr>
        <w:pStyle w:val="P36"/>
      </w:pPr>
      <w:r>
        <w:t xml:space="preserve">Stainless steel brake formed or roll formed sections: to ASTM A240/A240M-16a , Type </w:t>
      </w:r>
      <w:r>
        <w:rPr>
          <w:highlight w:val="yellow"/>
        </w:rPr>
        <w:t>[304]</w:t>
      </w:r>
      <w:r>
        <w:t xml:space="preserve"> </w:t>
      </w:r>
      <w:r>
        <w:rPr>
          <w:highlight w:val="yellow"/>
        </w:rPr>
        <w:t>[____]</w:t>
      </w:r>
      <w:r>
        <w:t xml:space="preserve">, </w:t>
      </w:r>
      <w:r>
        <w:rPr>
          <w:highlight w:val="yellow"/>
        </w:rPr>
        <w:t>[____]</w:t>
      </w:r>
      <w:r>
        <w:t xml:space="preserve"> finish.</w:t>
      </w:r>
    </w:p>
    <w:p>
      <w:pPr>
        <w:pStyle w:val="P36"/>
        <w:tabs>
          <w:tab w:val="left" w:pos="1418" w:leader="none"/>
          <w:tab w:val="clear" w:pos="1440" w:leader="none"/>
        </w:tabs>
        <w:ind w:hanging="709" w:left="1418"/>
      </w:pPr>
      <w:r>
        <w:t xml:space="preserve">Vinyl-acrylic extrusions: high impact vinyl in integral </w:t>
      </w:r>
      <w:r>
        <w:rPr>
          <w:highlight w:val="yellow"/>
        </w:rPr>
        <w:t>[___]</w:t>
      </w:r>
      <w:r>
        <w:t xml:space="preserve"> colour selected from manufacturer’s standard range.</w:t>
      </w:r>
    </w:p>
    <w:p>
      <w:pPr>
        <w:pStyle w:val="P36"/>
        <w:tabs>
          <w:tab w:val="left" w:pos="1418" w:leader="none"/>
          <w:tab w:val="clear" w:pos="1440" w:leader="none"/>
        </w:tabs>
        <w:ind w:hanging="709" w:left="1418"/>
      </w:pPr>
      <w:r>
        <w:t>Flexible inserts: Replaceable elastomeric gasket.</w:t>
      </w:r>
    </w:p>
    <w:p>
      <w:pPr>
        <w:pStyle w:val="P36"/>
        <w:tabs>
          <w:tab w:val="left" w:pos="1418" w:leader="none"/>
          <w:tab w:val="clear" w:pos="1440" w:leader="none"/>
        </w:tabs>
        <w:ind w:hanging="709" w:left="1418"/>
      </w:pPr>
      <w:r>
        <w:t>Accessories: Substrate seal, water-stop, condensation barrier, adhesives, fasteners and anchors as indicated and required.</w:t>
      </w:r>
    </w:p>
    <w:p>
      <w:pPr>
        <w:pStyle w:val="P35"/>
      </w:pPr>
      <w:r>
        <w:t>Products</w:t>
      </w:r>
    </w:p>
    <w:p>
      <w:pPr>
        <w:pStyle w:val="P36"/>
        <w:tabs>
          <w:tab w:val="left" w:pos="1418" w:leader="none"/>
          <w:tab w:val="clear" w:pos="1440" w:leader="none"/>
        </w:tabs>
        <w:ind w:hanging="709" w:left="1418"/>
      </w:pPr>
      <w:r>
        <w:t xml:space="preserve">Floor Joint Covers: </w:t>
      </w:r>
    </w:p>
    <w:p>
      <w:pPr>
        <w:pStyle w:val="P37"/>
        <w:tabs>
          <w:tab w:val="left" w:pos="2127" w:leader="none"/>
        </w:tabs>
        <w:ind w:hanging="709" w:left="2127"/>
      </w:pPr>
      <w:r>
        <w:t>Heavy duty aluminium construction, mill finish, with replaceable elastomeric gasket and complete with anchors.</w:t>
      </w:r>
    </w:p>
    <w:p>
      <w:pPr>
        <w:pStyle w:val="P37"/>
        <w:tabs>
          <w:tab w:val="left" w:pos="2127" w:leader="none"/>
        </w:tabs>
        <w:ind w:hanging="709" w:left="2127"/>
      </w:pPr>
      <w:r>
        <w:t xml:space="preserve">Colour of gasket: </w:t>
      </w:r>
      <w:r>
        <w:rPr>
          <w:highlight w:val="yellow"/>
        </w:rPr>
        <w:t>[_____].</w:t>
      </w:r>
    </w:p>
    <w:p>
      <w:pPr>
        <w:pStyle w:val="P37"/>
        <w:tabs>
          <w:tab w:val="left" w:pos="2127" w:leader="none"/>
        </w:tabs>
        <w:ind w:hanging="709" w:left="2127"/>
      </w:pPr>
      <w:r>
        <w:t>Rated where shown on drawings.</w:t>
      </w:r>
    </w:p>
    <w:p>
      <w:pPr>
        <w:pStyle w:val="P36"/>
        <w:tabs>
          <w:tab w:val="left" w:pos="1418" w:leader="none"/>
          <w:tab w:val="clear" w:pos="1440" w:leader="none"/>
        </w:tabs>
        <w:ind w:hanging="709" w:left="1418"/>
      </w:pPr>
      <w:r>
        <w:t>Wall and Ceiling Joint Covers:</w:t>
      </w:r>
    </w:p>
    <w:p>
      <w:pPr>
        <w:pStyle w:val="P37"/>
        <w:tabs>
          <w:tab w:val="left" w:pos="2127" w:leader="none"/>
        </w:tabs>
        <w:ind w:hanging="709" w:left="2127"/>
      </w:pPr>
      <w:r>
        <w:t xml:space="preserve">Extruded  aluminium construction, clear anodized finish, with replaceable elastomeric gasket and complete with anchors.</w:t>
      </w:r>
    </w:p>
    <w:p>
      <w:pPr>
        <w:pStyle w:val="P37"/>
        <w:tabs>
          <w:tab w:val="left" w:pos="2127" w:leader="none"/>
        </w:tabs>
        <w:ind w:hanging="709" w:left="2127"/>
      </w:pPr>
      <w:r>
        <w:t>Colour of gasket</w:t>
      </w:r>
      <w:r>
        <w:rPr>
          <w:highlight w:val="yellow"/>
        </w:rPr>
        <w:t>: [_____].</w:t>
      </w:r>
    </w:p>
    <w:p>
      <w:pPr>
        <w:pStyle w:val="P37"/>
        <w:tabs>
          <w:tab w:val="left" w:pos="2127" w:leader="none"/>
        </w:tabs>
        <w:ind w:hanging="709" w:left="2127"/>
      </w:pPr>
      <w:r>
        <w:t>Rated where shown on Contract Drawings.</w:t>
      </w:r>
    </w:p>
    <w:p>
      <w:pPr>
        <w:pStyle w:val="P34"/>
      </w:pPr>
      <w:r>
        <w:t>EXECUTION</w:t>
      </w:r>
    </w:p>
    <w:p>
      <w:pPr>
        <w:pStyle w:val="P35"/>
      </w:pPr>
      <w:r>
        <w:t>Installation</w:t>
      </w:r>
    </w:p>
    <w:p>
      <w:pPr>
        <w:pStyle w:val="P36"/>
        <w:tabs>
          <w:tab w:val="left" w:pos="1418" w:leader="none"/>
          <w:tab w:val="clear" w:pos="1440" w:leader="none"/>
        </w:tabs>
        <w:ind w:hanging="709" w:left="1418"/>
      </w:pPr>
      <w:r>
        <w:t>Take measurements at site and fabricate work to suit.</w:t>
      </w:r>
    </w:p>
    <w:p>
      <w:pPr>
        <w:pStyle w:val="P36"/>
        <w:tabs>
          <w:tab w:val="left" w:pos="1418" w:leader="none"/>
          <w:tab w:val="clear" w:pos="1440" w:leader="none"/>
        </w:tabs>
        <w:ind w:hanging="709" w:left="1418"/>
      </w:pPr>
      <w:r>
        <w:t>Install floor, wall and ceiling expansion joint covers in accordance with manufacturer’s instructions and recommendations.</w:t>
      </w:r>
    </w:p>
    <w:p>
      <w:pPr>
        <w:pStyle w:val="P36"/>
        <w:tabs>
          <w:tab w:val="left" w:pos="1418" w:leader="none"/>
          <w:tab w:val="clear" w:pos="1440" w:leader="none"/>
        </w:tabs>
        <w:ind w:hanging="709" w:left="1418"/>
      </w:pPr>
      <w:r>
        <w:t>Set work plumb, square, level, free from distortion.</w:t>
      </w:r>
    </w:p>
    <w:p>
      <w:pPr>
        <w:pStyle w:val="P36"/>
        <w:tabs>
          <w:tab w:val="left" w:pos="1418" w:leader="none"/>
          <w:tab w:val="clear" w:pos="1440" w:leader="none"/>
        </w:tabs>
        <w:ind w:hanging="709" w:left="1418"/>
      </w:pPr>
      <w:r>
        <w:t>Securely anchor covers in their proper locations.</w:t>
      </w:r>
    </w:p>
    <w:p>
      <w:pPr>
        <w:pStyle w:val="P36"/>
        <w:tabs>
          <w:tab w:val="left" w:pos="1418" w:leader="none"/>
          <w:tab w:val="clear" w:pos="1440" w:leader="none"/>
        </w:tabs>
        <w:ind w:hanging="709" w:left="1418"/>
      </w:pPr>
      <w:r>
        <w:t>Make fire-rated assemblies continuous between floor, wall, and ceiling joints.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05810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EXPANSION JOINT COVER ASSEMBLIES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05810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EXPANSION JOINT COVER ASSEMBLIES</w:t>
    </w:r>
    <w:r>
      <w:tab/>
      <w:t>2017-02-15</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05810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2017-02-15</w:t>
    </w:r>
    <w:r>
      <w:rPr>
        <w:b w:val="1"/>
      </w:rPr>
      <w:tab/>
      <w:t>EXPANSION JOINT COVER ASSEMBLIES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62B5EF5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1C0523"/>
    <w:multiLevelType w:val="hybridMultilevel"/>
    <w:lvl w:ilvl="0" w:tplc="4DD61A19">
      <w:start w:val="1"/>
      <w:numFmt w:val="bullet"/>
      <w:suff w:val="tab"/>
      <w:lvlText w:val=""/>
      <w:lvlJc w:val="left"/>
      <w:pPr>
        <w:ind w:hanging="360" w:left="720"/>
        <w:tabs>
          <w:tab w:val="left" w:pos="720" w:leader="none"/>
        </w:tabs>
      </w:pPr>
      <w:rPr>
        <w:rFonts w:ascii="Symbol" w:hAnsi="Symbol"/>
      </w:rPr>
    </w:lvl>
    <w:lvl w:ilvl="1" w:tplc="7962D8D0">
      <w:start w:val="1"/>
      <w:numFmt w:val="bullet"/>
      <w:suff w:val="tab"/>
      <w:lvlText w:val="o"/>
      <w:lvlJc w:val="left"/>
      <w:pPr>
        <w:ind w:hanging="360" w:left="1440"/>
        <w:tabs>
          <w:tab w:val="left" w:pos="1440" w:leader="none"/>
        </w:tabs>
      </w:pPr>
      <w:rPr>
        <w:rFonts w:ascii="Courier New" w:hAnsi="Courier New"/>
      </w:rPr>
    </w:lvl>
    <w:lvl w:ilvl="2" w:tplc="611C6EEB">
      <w:start w:val="1"/>
      <w:numFmt w:val="bullet"/>
      <w:suff w:val="tab"/>
      <w:lvlText w:val=""/>
      <w:lvlJc w:val="left"/>
      <w:pPr>
        <w:ind w:hanging="360" w:left="2160"/>
        <w:tabs>
          <w:tab w:val="left" w:pos="2160" w:leader="none"/>
        </w:tabs>
      </w:pPr>
      <w:rPr>
        <w:rFonts w:ascii="Wingdings" w:hAnsi="Wingdings"/>
      </w:rPr>
    </w:lvl>
    <w:lvl w:ilvl="3" w:tplc="3E7EE363">
      <w:start w:val="1"/>
      <w:numFmt w:val="bullet"/>
      <w:suff w:val="tab"/>
      <w:lvlText w:val=""/>
      <w:lvlJc w:val="left"/>
      <w:pPr>
        <w:ind w:hanging="360" w:left="2880"/>
        <w:tabs>
          <w:tab w:val="left" w:pos="2880" w:leader="none"/>
        </w:tabs>
      </w:pPr>
      <w:rPr>
        <w:rFonts w:ascii="Symbol" w:hAnsi="Symbol"/>
      </w:rPr>
    </w:lvl>
    <w:lvl w:ilvl="4" w:tplc="09059415">
      <w:start w:val="1"/>
      <w:numFmt w:val="bullet"/>
      <w:suff w:val="tab"/>
      <w:lvlText w:val="o"/>
      <w:lvlJc w:val="left"/>
      <w:pPr>
        <w:ind w:hanging="360" w:left="3600"/>
        <w:tabs>
          <w:tab w:val="left" w:pos="3600" w:leader="none"/>
        </w:tabs>
      </w:pPr>
      <w:rPr>
        <w:rFonts w:ascii="Courier New" w:hAnsi="Courier New"/>
      </w:rPr>
    </w:lvl>
    <w:lvl w:ilvl="5" w:tplc="7E5D4E26">
      <w:start w:val="1"/>
      <w:numFmt w:val="bullet"/>
      <w:suff w:val="tab"/>
      <w:lvlText w:val=""/>
      <w:lvlJc w:val="left"/>
      <w:pPr>
        <w:ind w:hanging="360" w:left="4320"/>
        <w:tabs>
          <w:tab w:val="left" w:pos="4320" w:leader="none"/>
        </w:tabs>
      </w:pPr>
      <w:rPr>
        <w:rFonts w:ascii="Wingdings" w:hAnsi="Wingdings"/>
      </w:rPr>
    </w:lvl>
    <w:lvl w:ilvl="6" w:tplc="574C8DB6">
      <w:start w:val="1"/>
      <w:numFmt w:val="bullet"/>
      <w:suff w:val="tab"/>
      <w:lvlText w:val=""/>
      <w:lvlJc w:val="left"/>
      <w:pPr>
        <w:ind w:hanging="360" w:left="5040"/>
        <w:tabs>
          <w:tab w:val="left" w:pos="5040" w:leader="none"/>
        </w:tabs>
      </w:pPr>
      <w:rPr>
        <w:rFonts w:ascii="Symbol" w:hAnsi="Symbol"/>
      </w:rPr>
    </w:lvl>
    <w:lvl w:ilvl="7" w:tplc="06DAC94A">
      <w:start w:val="1"/>
      <w:numFmt w:val="bullet"/>
      <w:suff w:val="tab"/>
      <w:lvlText w:val="o"/>
      <w:lvlJc w:val="left"/>
      <w:pPr>
        <w:ind w:hanging="360" w:left="5760"/>
        <w:tabs>
          <w:tab w:val="left" w:pos="5760" w:leader="none"/>
        </w:tabs>
      </w:pPr>
      <w:rPr>
        <w:rFonts w:ascii="Courier New" w:hAnsi="Courier New"/>
      </w:rPr>
    </w:lvl>
    <w:lvl w:ilvl="8" w:tplc="3BCDBE99">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FDD6F81"/>
    <w:multiLevelType w:val="hybridMultilevel"/>
    <w:lvl w:ilvl="0" w:tplc="5E3855BA">
      <w:start w:val="1"/>
      <w:numFmt w:val="bullet"/>
      <w:suff w:val="tab"/>
      <w:lvlText w:val=""/>
      <w:lvlJc w:val="left"/>
      <w:pPr>
        <w:ind w:hanging="360" w:left="720"/>
        <w:tabs>
          <w:tab w:val="left" w:pos="720" w:leader="none"/>
        </w:tabs>
      </w:pPr>
      <w:rPr>
        <w:rFonts w:ascii="Symbol" w:hAnsi="Symbol"/>
      </w:rPr>
    </w:lvl>
    <w:lvl w:ilvl="1" w:tplc="5DB301EE">
      <w:start w:val="1"/>
      <w:numFmt w:val="bullet"/>
      <w:suff w:val="tab"/>
      <w:lvlText w:val="o"/>
      <w:lvlJc w:val="left"/>
      <w:pPr>
        <w:ind w:hanging="360" w:left="1440"/>
        <w:tabs>
          <w:tab w:val="left" w:pos="1440" w:leader="none"/>
        </w:tabs>
      </w:pPr>
      <w:rPr>
        <w:rFonts w:ascii="Courier New" w:hAnsi="Courier New"/>
      </w:rPr>
    </w:lvl>
    <w:lvl w:ilvl="2" w:tplc="41CC7F16">
      <w:start w:val="1"/>
      <w:numFmt w:val="bullet"/>
      <w:suff w:val="tab"/>
      <w:lvlText w:val=""/>
      <w:lvlJc w:val="left"/>
      <w:pPr>
        <w:ind w:hanging="360" w:left="2160"/>
        <w:tabs>
          <w:tab w:val="left" w:pos="2160" w:leader="none"/>
        </w:tabs>
      </w:pPr>
      <w:rPr>
        <w:rFonts w:ascii="Wingdings" w:hAnsi="Wingdings"/>
      </w:rPr>
    </w:lvl>
    <w:lvl w:ilvl="3" w:tplc="62172833">
      <w:start w:val="1"/>
      <w:numFmt w:val="bullet"/>
      <w:suff w:val="tab"/>
      <w:lvlText w:val=""/>
      <w:lvlJc w:val="left"/>
      <w:pPr>
        <w:ind w:hanging="360" w:left="2880"/>
        <w:tabs>
          <w:tab w:val="left" w:pos="2880" w:leader="none"/>
        </w:tabs>
      </w:pPr>
      <w:rPr>
        <w:rFonts w:ascii="Symbol" w:hAnsi="Symbol"/>
      </w:rPr>
    </w:lvl>
    <w:lvl w:ilvl="4" w:tplc="6253E642">
      <w:start w:val="1"/>
      <w:numFmt w:val="bullet"/>
      <w:suff w:val="tab"/>
      <w:lvlText w:val="o"/>
      <w:lvlJc w:val="left"/>
      <w:pPr>
        <w:ind w:hanging="360" w:left="3600"/>
        <w:tabs>
          <w:tab w:val="left" w:pos="3600" w:leader="none"/>
        </w:tabs>
      </w:pPr>
      <w:rPr>
        <w:rFonts w:ascii="Courier New" w:hAnsi="Courier New"/>
      </w:rPr>
    </w:lvl>
    <w:lvl w:ilvl="5" w:tplc="52815845">
      <w:start w:val="1"/>
      <w:numFmt w:val="bullet"/>
      <w:suff w:val="tab"/>
      <w:lvlText w:val=""/>
      <w:lvlJc w:val="left"/>
      <w:pPr>
        <w:ind w:hanging="360" w:left="4320"/>
        <w:tabs>
          <w:tab w:val="left" w:pos="4320" w:leader="none"/>
        </w:tabs>
      </w:pPr>
      <w:rPr>
        <w:rFonts w:ascii="Wingdings" w:hAnsi="Wingdings"/>
      </w:rPr>
    </w:lvl>
    <w:lvl w:ilvl="6" w:tplc="14E2F9C9">
      <w:start w:val="1"/>
      <w:numFmt w:val="bullet"/>
      <w:suff w:val="tab"/>
      <w:lvlText w:val=""/>
      <w:lvlJc w:val="left"/>
      <w:pPr>
        <w:ind w:hanging="360" w:left="5040"/>
        <w:tabs>
          <w:tab w:val="left" w:pos="5040" w:leader="none"/>
        </w:tabs>
      </w:pPr>
      <w:rPr>
        <w:rFonts w:ascii="Symbol" w:hAnsi="Symbol"/>
      </w:rPr>
    </w:lvl>
    <w:lvl w:ilvl="7" w:tplc="05FBEA4D">
      <w:start w:val="1"/>
      <w:numFmt w:val="bullet"/>
      <w:suff w:val="tab"/>
      <w:lvlText w:val="o"/>
      <w:lvlJc w:val="left"/>
      <w:pPr>
        <w:ind w:hanging="360" w:left="5760"/>
        <w:tabs>
          <w:tab w:val="left" w:pos="5760" w:leader="none"/>
        </w:tabs>
      </w:pPr>
      <w:rPr>
        <w:rFonts w:ascii="Courier New" w:hAnsi="Courier New"/>
      </w:rPr>
    </w:lvl>
    <w:lvl w:ilvl="8" w:tplc="77844E1A">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1"/>
  </w:num>
  <w:num w:numId="9">
    <w:abstractNumId w:val="11"/>
  </w:num>
  <w:num w:numId="10">
    <w:abstractNumId w:val="5"/>
  </w:num>
  <w:num w:numId="11">
    <w:abstractNumId w:val="10"/>
  </w:num>
  <w:num w:numId="12">
    <w:abstractNumId w:val="2"/>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8"/>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2017-02-22T14:02:00Z</dcterms:created>
  <cp:lastModifiedBy>Ray</cp:lastModifiedBy>
  <cp:lastPrinted>2006-08-29T20:21:00Z</cp:lastPrinted>
  <dcterms:modified xsi:type="dcterms:W3CDTF">2022-10-04T19:38:51Z</dcterms:modified>
  <cp:revision>3</cp:revision>
  <dc:title>05810_Expansion_Joint_Cover_Assemblies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ENVCPD-83-872</vt:lpwstr>
  </property>
  <property fmtid="{D5CDD505-2E9C-101B-9397-08002B2CF9AE}" pid="6" name="_dlc_DocIdItemGuid">
    <vt:lpwstr>2717b74a-920b-4f00-97e0-01d6bab794cc</vt:lpwstr>
  </property>
  <property fmtid="{D5CDD505-2E9C-101B-9397-08002B2CF9AE}" pid="7" name="_dlc_DocIdUrl">
    <vt:lpwstr>https://mycloud.york.ca/projects/EnvServProgramDeliveryOffice/ProjectServer/AEL/_layouts/DocIdRedir.aspx?ID=ENVCPD-83-872, ENVCPD-83-872</vt:lpwstr>
  </property>
  <property fmtid="{D5CDD505-2E9C-101B-9397-08002B2CF9AE}" pid="8" name="ContentTypeId">
    <vt:lpwstr>0x0101001E76F5F51B06864FADA04BB3B6DF741B</vt:lpwstr>
  </property>
</Properties>
</file>