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621AF5" Type="http://schemas.openxmlformats.org/officeDocument/2006/relationships/officeDocument" Target="/word/document.xml" /><Relationship Id="coreR6621AF5" Type="http://schemas.openxmlformats.org/package/2006/relationships/metadata/core-properties" Target="/docProps/core.xml" /><Relationship Id="customR6621AF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pPr w:leftFromText="180" w:rightFromText="180" w:tblpX="1" w:tblpY="1" w:vertAnchor="text" w:tblpXSpec="center"/>
        <w:tblOverlap w:val="never"/>
        <w:tblW w:w="0" w:type="auto"/>
        <w:tblLayout w:type="fixed"/>
      </w:tblPr>
      <w:tblGrid/>
      <w:tr>
        <w:trPr>
          <w:wAfter w:w="0" w:type="dxa"/>
        </w:trPr>
        <w:tc>
          <w:tcPr>
            <w:tcW w:w="1094" w:type="dxa"/>
            <w:tcBorders>
              <w:top w:val="doub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Version</w:t>
            </w:r>
          </w:p>
        </w:tc>
        <w:tc>
          <w:tcPr>
            <w:tcW w:w="2084" w:type="dxa"/>
            <w:tcBorders>
              <w:top w:val="doub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Description of Revisions</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1</w:t>
            </w:r>
          </w:p>
        </w:tc>
        <w:tc>
          <w:tcPr>
            <w:tcW w:w="2084" w:type="dxa"/>
            <w:tcBorders>
              <w:top w:val="sing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Approved final document.</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2</w:t>
            </w:r>
          </w:p>
        </w:tc>
        <w:tc>
          <w:tcPr>
            <w:tcW w:w="2084" w:type="dxa"/>
            <w:tcBorders>
              <w:top w:val="sing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Modified ‘Related Section’</w:t>
            </w:r>
          </w:p>
        </w:tc>
      </w:tr>
      <w:tr>
        <w:trPr>
          <w:wAfter w:w="0" w:type="dxa"/>
          <w:trHeight w:hRule="atLeast" w:val="65"/>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3</w:t>
            </w:r>
          </w:p>
        </w:tc>
        <w:tc>
          <w:tcPr>
            <w:tcW w:w="2084" w:type="dxa"/>
            <w:tcBorders>
              <w:top w:val="sing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 xml:space="preserve">June 11, 2012 </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Addition of References and Replacement Parts sections on this page</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 xml:space="preserve">4 </w:t>
            </w:r>
          </w:p>
        </w:tc>
        <w:tc>
          <w:tcPr>
            <w:tcW w:w="2084" w:type="dxa"/>
            <w:tcBorders>
              <w:top w:val="sing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July 4,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bookmarkStart w:id="0" w:name="OLE_LINK1"/>
            <w:r>
              <w:rPr>
                <w:rFonts w:ascii="Calibri" w:hAnsi="Calibri"/>
                <w:sz w:val="22"/>
              </w:rPr>
              <w:t>Reformatted to Reduce White Space</w:t>
            </w:r>
            <w:bookmarkEnd w:id="0"/>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5</w:t>
            </w:r>
          </w:p>
        </w:tc>
        <w:tc>
          <w:tcPr>
            <w:tcW w:w="2084" w:type="dxa"/>
            <w:tcBorders>
              <w:top w:val="sing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March 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 xml:space="preserve">First draft review, incorporation of some parts of TW and NL specifications.  (AV)</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framePr w:w="0" w:h="0" w:hRule="auto" w:vSpace="0" w:hSpace="0" w:wrap="auto" w:vAnchor="margin" w:hAnchor="text" w:x="0" w:xAlign="left" w:y="0" w:yAlign="inline"/>
              <w:rPr>
                <w:b w:val="1"/>
              </w:rPr>
            </w:pPr>
            <w:r>
              <w:rPr>
                <w:b w:val="1"/>
              </w:rPr>
              <w:t>6</w:t>
            </w:r>
          </w:p>
        </w:tc>
        <w:tc>
          <w:tcPr>
            <w:tcW w:w="2084" w:type="dxa"/>
            <w:tcBorders>
              <w:top w:val="single" w:sz="6" w:space="0" w:shadow="0" w:frame="0"/>
              <w:left w:val="single" w:sz="6" w:space="0" w:shadow="0" w:frame="0"/>
              <w:bottom w:val="single" w:sz="6" w:space="0" w:shadow="0" w:frame="0"/>
              <w:right w:val="single" w:sz="6" w:space="0" w:shadow="0" w:frame="0"/>
            </w:tcBorders>
          </w:tcPr>
          <w:p>
            <w:pPr>
              <w:framePr w:w="0" w:h="0" w:hRule="auto" w:vSpace="0" w:hSpace="0" w:wrap="auto" w:vAnchor="margin" w:hAnchor="text" w:x="0" w:xAlign="left" w:y="0" w:yAlign="inline"/>
              <w:rPr>
                <w:b w:val="1"/>
              </w:rPr>
            </w:pPr>
            <w:r>
              <w:rPr>
                <w:b w:val="1"/>
              </w:rPr>
              <w:t>October 19, 2015</w:t>
            </w:r>
          </w:p>
        </w:tc>
        <w:tc>
          <w:tcPr>
            <w:tcW w:w="5863" w:type="dxa"/>
            <w:tcBorders>
              <w:top w:val="single" w:sz="6" w:space="0" w:shadow="0" w:frame="0"/>
              <w:left w:val="single" w:sz="6" w:space="0" w:shadow="0" w:frame="0"/>
              <w:bottom w:val="single" w:sz="6" w:space="0" w:shadow="0" w:frame="0"/>
              <w:right w:val="double" w:sz="6" w:space="0" w:shadow="0" w:frame="0"/>
            </w:tcBorders>
          </w:tcPr>
          <w:p>
            <w:pPr>
              <w:framePr w:w="0" w:h="0" w:hRule="auto" w:vSpace="0" w:hSpace="0" w:wrap="auto" w:vAnchor="margin" w:hAnchor="text" w:x="0" w:xAlign="left" w:y="0" w:yAlign="inline"/>
              <w:rPr>
                <w:b w:val="1"/>
              </w:rPr>
            </w:pPr>
            <w:r>
              <w:rPr>
                <w:b w:val="1"/>
              </w:rPr>
              <w:t>Updated, Finalized Specification – Legal Reference eDOCS #6263235 v3 (AV)</w:t>
            </w:r>
          </w:p>
        </w:tc>
      </w:tr>
      <w:tr>
        <w:trPr>
          <w:wAfter w:w="0" w:type="dxa"/>
        </w:trPr>
        <w:tc>
          <w:tcPr>
            <w:tcW w:w="1094" w:type="dxa"/>
            <w:tcBorders>
              <w:top w:val="single" w:sz="6" w:space="0" w:shadow="0" w:frame="0"/>
              <w:left w:val="double" w:sz="6" w:space="0" w:shadow="0" w:frame="0"/>
              <w:bottom w:val="double" w:sz="6" w:space="0" w:shadow="0" w:frame="0"/>
              <w:right w:val="single" w:sz="6" w:space="0" w:shadow="0" w:frame="0"/>
            </w:tcBorders>
          </w:tcPr>
          <w:p>
            <w:pPr>
              <w:framePr w:w="0" w:h="0" w:hRule="auto" w:vSpace="0" w:hSpace="0" w:wrap="auto" w:vAnchor="margin" w:hAnchor="text" w:x="0" w:xAlign="left" w:y="0" w:yAlign="inline"/>
            </w:pPr>
          </w:p>
        </w:tc>
        <w:tc>
          <w:tcPr>
            <w:tcW w:w="2084" w:type="dxa"/>
            <w:tcBorders>
              <w:top w:val="single" w:sz="6" w:space="0" w:shadow="0" w:frame="0"/>
              <w:left w:val="single" w:sz="6" w:space="0" w:shadow="0" w:frame="0"/>
              <w:bottom w:val="double" w:sz="6" w:space="0" w:shadow="0" w:frame="0"/>
              <w:right w:val="single" w:sz="6" w:space="0" w:shadow="0" w:frame="0"/>
            </w:tcBorders>
          </w:tcPr>
          <w:p>
            <w:pPr>
              <w:framePr w:w="0" w:h="0" w:hRule="auto" w:vSpace="0" w:hSpace="0" w:wrap="auto" w:vAnchor="margin" w:hAnchor="text" w:x="0" w:xAlign="left" w:y="0" w:yAlign="inline"/>
            </w:pPr>
          </w:p>
        </w:tc>
        <w:tc>
          <w:tcPr>
            <w:tcW w:w="5863" w:type="dxa"/>
            <w:tcBorders>
              <w:top w:val="single" w:sz="6" w:space="0" w:shadow="0" w:frame="0"/>
              <w:left w:val="single" w:sz="6" w:space="0" w:shadow="0" w:frame="0"/>
              <w:bottom w:val="double" w:sz="6" w:space="0" w:shadow="0" w:frame="0"/>
              <w:right w:val="double" w:sz="6" w:space="0" w:shadow="0" w:frame="0"/>
            </w:tcBorders>
          </w:tcPr>
          <w:p>
            <w:pPr>
              <w:framePr w:w="0" w:h="0" w:hRule="auto" w:vSpace="0" w:hSpace="0" w:wrap="auto" w:vAnchor="margin" w:hAnchor="text" w:x="0" w:xAlign="left" w:y="0" w:yAlign="inline"/>
            </w:pPr>
          </w:p>
        </w:tc>
      </w:tr>
    </w:tbl>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ind w:left="360"/>
        <w:rPr>
          <w:rFonts w:ascii="Calibri" w:hAnsi="Calibri"/>
        </w:rPr>
      </w:pPr>
    </w:p>
    <w:p>
      <w:pPr>
        <w:pStyle w:val="P34"/>
      </w:pPr>
      <w:r>
        <w:br w:type="page"/>
        <w:t>GEneral</w:t>
      </w:r>
    </w:p>
    <w:p>
      <w:pPr>
        <w:pStyle w:val="P35"/>
      </w:pPr>
      <w:r>
        <w:t>Related Sections</w:t>
      </w:r>
    </w:p>
    <w:p>
      <w:pPr>
        <w:pStyle w:val="P36"/>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ind w:left="4320"/>
      </w:pPr>
    </w:p>
    <w:p>
      <w:pPr>
        <w:pStyle w:val="P36"/>
        <w:numPr>
          <w:ilvl w:val="2"/>
          <w:numId w:val="0"/>
        </w:numPr>
        <w:tabs>
          <w:tab w:val="left" w:pos="1418" w:leader="none"/>
        </w:tabs>
        <w:ind w:hanging="709" w:left="1418"/>
        <w:rPr>
          <w:i w:val="1"/>
        </w:rPr>
      </w:pPr>
      <w:r>
        <w:rPr>
          <w:i w:val="1"/>
          <w:highlight w:val="yellow"/>
        </w:rPr>
        <w:t>[List Sections specifying installation of products supplied but not installed under this Section and</w:t>
      </w:r>
      <w:r>
        <w:rPr>
          <w:i w:val="1"/>
          <w:highlight w:val="yellow"/>
        </w:rPr>
        <w:t xml:space="preserve"> </w:t>
      </w:r>
      <w:r>
        <w:rPr>
          <w:i w:val="1"/>
          <w:highlight w:val="yellow"/>
        </w:rPr>
        <w:t>indicate specific items.]</w:t>
      </w:r>
    </w:p>
    <w:p>
      <w:pPr>
        <w:pStyle w:val="P36"/>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tabs>
          <w:tab w:val="left" w:pos="1418" w:leader="none"/>
          <w:tab w:val="left" w:pos="5895" w:leader="none"/>
        </w:tabs>
        <w:ind w:hanging="709" w:left="1418"/>
        <w:rPr>
          <w:i w:val="1"/>
        </w:rPr>
      </w:pPr>
      <w:r>
        <w:rPr>
          <w:i w:val="1"/>
          <w:highlight w:val="yellow"/>
        </w:rPr>
        <w:t>[List Sections specifying products installed but not supplied under this Section and indicate specific items.]</w:t>
      </w:r>
    </w:p>
    <w:p>
      <w:pPr>
        <w:pStyle w:val="P36"/>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tabs>
          <w:tab w:val="left" w:pos="1418" w:leader="none"/>
        </w:tabs>
        <w:ind w:hanging="709" w:left="1418"/>
        <w:rPr>
          <w:i w:val="1"/>
        </w:rPr>
      </w:pPr>
      <w:r>
        <w:rPr>
          <w:i w:val="1"/>
          <w:highlight w:val="yellow"/>
        </w:rPr>
        <w:t>[List Sections specifying related requirements.]</w:t>
      </w:r>
    </w:p>
    <w:p>
      <w:pPr>
        <w:pStyle w:val="P36"/>
        <w:tabs>
          <w:tab w:val="left" w:pos="1418" w:leader="none"/>
          <w:tab w:val="clear" w:pos="1440" w:leader="none"/>
        </w:tabs>
        <w:ind w:hanging="709" w:left="1418"/>
      </w:pPr>
      <w:r>
        <w:t xml:space="preserve">Section </w:t>
      </w:r>
      <w:r>
        <w:rPr>
          <w:highlight w:val="yellow"/>
        </w:rPr>
        <w:t xml:space="preserve">[______ – ____________]:  [Optional short phrase indicating relationship].</w:t>
      </w:r>
    </w:p>
    <w:p>
      <w:pPr>
        <w:pStyle w:val="P35"/>
      </w:pPr>
      <w:r>
        <w:t>References</w:t>
      </w:r>
    </w:p>
    <w:p>
      <w:pPr>
        <w:pStyle w:val="P1"/>
        <w:ind w:hanging="2891" w:left="3600"/>
        <w:rPr>
          <w:rFonts w:ascii="Calibri" w:hAnsi="Calibri"/>
          <w:i w:val="1"/>
        </w:rPr>
      </w:pPr>
      <w:r>
        <w:rPr>
          <w:rFonts w:ascii="Calibri" w:hAnsi="Calibri"/>
          <w:i w:val="1"/>
          <w:highlight w:val="yellow"/>
        </w:rPr>
        <w:t>[Delete .1 if Section 01060 – Regulatory Requirements is included in Contract Documents.]</w:t>
      </w:r>
    </w:p>
    <w:p>
      <w:pPr>
        <w:pStyle w:val="P36"/>
        <w:tabs>
          <w:tab w:val="left" w:pos="1418" w:leader="none"/>
          <w:tab w:val="clear" w:pos="1440" w:leader="none"/>
        </w:tabs>
        <w:ind w:hanging="709" w:left="1418"/>
      </w:pPr>
      <w:r>
        <w:t>Comply with the latest edition of the following statutes, codes, standards, and all amendments thereto:</w:t>
      </w:r>
    </w:p>
    <w:p>
      <w:pPr>
        <w:pStyle w:val="P37"/>
        <w:tabs>
          <w:tab w:val="left" w:pos="2127" w:leader="none"/>
        </w:tabs>
        <w:ind w:hanging="709" w:left="2127"/>
      </w:pPr>
      <w:r>
        <w:t>Canadian Standards Association (CSA)</w:t>
      </w:r>
    </w:p>
    <w:p>
      <w:pPr>
        <w:pStyle w:val="P44"/>
        <w:tabs>
          <w:tab w:val="left" w:pos="2835" w:leader="none"/>
        </w:tabs>
        <w:ind w:hanging="708" w:left="2835"/>
      </w:pPr>
      <w:r>
        <w:t>CSA B111-1974 (R2003), Wire Nails, Spikes and Staples.</w:t>
      </w:r>
    </w:p>
    <w:p>
      <w:pPr>
        <w:pStyle w:val="P44"/>
        <w:tabs>
          <w:tab w:val="left" w:pos="2835" w:leader="none"/>
        </w:tabs>
        <w:ind w:hanging="708" w:left="2835"/>
      </w:pPr>
      <w:r>
        <w:t>CSA O121-08 (R2013), Douglas Fir Plywood.</w:t>
      </w:r>
    </w:p>
    <w:p>
      <w:pPr>
        <w:pStyle w:val="P44"/>
        <w:tabs>
          <w:tab w:val="left" w:pos="2835" w:leader="none"/>
        </w:tabs>
        <w:ind w:hanging="708" w:left="2835"/>
      </w:pPr>
      <w:r>
        <w:t>CAN/CSA O141-05 (R2014), Softwood Lumber.</w:t>
      </w:r>
    </w:p>
    <w:p>
      <w:pPr>
        <w:pStyle w:val="P44"/>
        <w:tabs>
          <w:tab w:val="left" w:pos="2835" w:leader="none"/>
        </w:tabs>
        <w:ind w:hanging="708" w:left="2835"/>
      </w:pPr>
      <w:r>
        <w:t>CSA O151-09 (R2014), Canadian Softwood Plywood.</w:t>
      </w:r>
    </w:p>
    <w:p>
      <w:pPr>
        <w:pStyle w:val="P44"/>
        <w:tabs>
          <w:tab w:val="left" w:pos="2835" w:leader="none"/>
        </w:tabs>
        <w:ind w:hanging="708" w:left="2835"/>
      </w:pPr>
      <w:r>
        <w:t>CAN/CSA O325-07 (R2012), Construction Sheathing.</w:t>
      </w:r>
    </w:p>
    <w:p>
      <w:pPr>
        <w:pStyle w:val="P44"/>
        <w:tabs>
          <w:tab w:val="left" w:pos="2835" w:leader="none"/>
        </w:tabs>
        <w:ind w:hanging="708" w:left="2835"/>
      </w:pPr>
      <w:r>
        <w:t>CAN/CSA O80 Series-08 (R2012) Consolidated</w:t>
      </w:r>
    </w:p>
    <w:p>
      <w:pPr>
        <w:pStyle w:val="P37"/>
        <w:tabs>
          <w:tab w:val="left" w:pos="2127" w:leader="none"/>
        </w:tabs>
        <w:ind w:hanging="709" w:left="2127"/>
      </w:pPr>
      <w:r>
        <w:t>National Building Code of Canada 2010</w:t>
      </w:r>
    </w:p>
    <w:p>
      <w:pPr>
        <w:pStyle w:val="P37"/>
        <w:tabs>
          <w:tab w:val="left" w:pos="2127" w:leader="none"/>
        </w:tabs>
        <w:ind w:hanging="709" w:left="2127"/>
      </w:pPr>
      <w:r>
        <w:t>National Lumber Grades Authority (NLGA)</w:t>
      </w:r>
    </w:p>
    <w:p>
      <w:pPr>
        <w:pStyle w:val="P44"/>
        <w:tabs>
          <w:tab w:val="left" w:pos="2835" w:leader="none"/>
        </w:tabs>
        <w:ind w:hanging="708" w:left="2835"/>
      </w:pPr>
      <w:r>
        <w:t>Standard Grading Rules for Canadian Lumber.</w:t>
      </w:r>
    </w:p>
    <w:p>
      <w:pPr>
        <w:pStyle w:val="P35"/>
      </w:pPr>
      <w:r>
        <w:t>Quality Assurance</w:t>
      </w:r>
    </w:p>
    <w:p>
      <w:pPr>
        <w:pStyle w:val="P36"/>
        <w:tabs>
          <w:tab w:val="left" w:pos="1418" w:leader="none"/>
          <w:tab w:val="clear" w:pos="1440" w:leader="none"/>
        </w:tabs>
        <w:ind w:hanging="709" w:left="1418"/>
      </w:pPr>
      <w:r>
        <w:t>Lumber Identification: By grade stamp of an agency certified by Canadian Lumber Standards Accreditation Board.</w:t>
      </w:r>
    </w:p>
    <w:p>
      <w:pPr>
        <w:pStyle w:val="P36"/>
        <w:tabs>
          <w:tab w:val="left" w:pos="1418" w:leader="none"/>
          <w:tab w:val="clear" w:pos="1440" w:leader="none"/>
        </w:tabs>
        <w:ind w:hanging="709" w:left="1418"/>
      </w:pPr>
      <w:r>
        <w:t>Plywood Identification: By grade mark in accordance with applicable CSA standards.</w:t>
      </w:r>
    </w:p>
    <w:p>
      <w:pPr>
        <w:pStyle w:val="P36"/>
        <w:tabs>
          <w:tab w:val="left" w:pos="1418" w:leader="none"/>
          <w:tab w:val="clear" w:pos="1440" w:leader="none"/>
        </w:tabs>
        <w:ind w:hanging="709" w:left="1418"/>
      </w:pPr>
      <w:r>
        <w:t>Plywood, Oriented Strand Board (OSB) and wood based composite panel construction sheathing identification: By grade mark in accordance with applicable CSA standards.</w:t>
      </w:r>
    </w:p>
    <w:p>
      <w:pPr>
        <w:pStyle w:val="P35"/>
      </w:pPr>
      <w:r>
        <w:t>Delivery, Storage and Handling</w:t>
      </w:r>
    </w:p>
    <w:p>
      <w:pPr>
        <w:pStyle w:val="P36"/>
        <w:tabs>
          <w:tab w:val="left" w:pos="1418" w:leader="none"/>
          <w:tab w:val="clear" w:pos="1440" w:leader="none"/>
        </w:tabs>
        <w:ind w:hanging="709" w:left="1418"/>
      </w:pPr>
      <w:r>
        <w:t>Store materials in dry locations, leave 150 mm clearance to floor.</w:t>
      </w:r>
    </w:p>
    <w:p>
      <w:pPr>
        <w:pStyle w:val="P36"/>
        <w:tabs>
          <w:tab w:val="left" w:pos="1418" w:leader="none"/>
          <w:tab w:val="clear" w:pos="1440" w:leader="none"/>
        </w:tabs>
        <w:ind w:hanging="709" w:left="1418"/>
      </w:pPr>
      <w:r>
        <w:t>Protect fire retardant treated materials against moisture.</w:t>
      </w:r>
    </w:p>
    <w:p>
      <w:pPr>
        <w:pStyle w:val="P35"/>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rPr>
          <w:highlight w:val="yellow"/>
        </w:rPr>
      </w:pPr>
      <w:r>
        <w:rPr>
          <w:highlight w:val="yellow"/>
        </w:rPr>
        <w:t>All costs associated with the work of this Section shall be included in the price(s) for Item No(s). ___ in the Bid Form.</w:t>
      </w:r>
    </w:p>
    <w:p>
      <w:pPr>
        <w:pStyle w:val="P1"/>
        <w:spacing w:after="0"/>
        <w:ind w:left="720"/>
        <w:rPr>
          <w:rFonts w:ascii="Calibri" w:hAnsi="Calibri"/>
        </w:rPr>
      </w:pPr>
      <w:r>
        <w:rPr>
          <w:rFonts w:ascii="Calibri" w:hAnsi="Calibri"/>
          <w:i w:val="1"/>
          <w:highlight w:val="yellow"/>
        </w:rPr>
        <w:t>If the work of this Section is to be measured and paid for by several different methods, please amend the standard wording given above to reflect the different methods of measurement and payment.</w:t>
      </w:r>
      <w:r>
        <w:rPr>
          <w:rFonts w:ascii="Calibri" w:hAnsi="Calibri"/>
          <w:highlight w:val="yellow"/>
        </w:rPr>
        <w:t>]</w:t>
      </w:r>
    </w:p>
    <w:p>
      <w:pPr>
        <w:pStyle w:val="P34"/>
      </w:pPr>
      <w:r>
        <w:t>PRODUCTS</w:t>
      </w:r>
    </w:p>
    <w:p>
      <w:pPr>
        <w:pStyle w:val="P35"/>
      </w:pPr>
      <w:r>
        <w:t>Lumber Material</w:t>
      </w:r>
    </w:p>
    <w:p>
      <w:pPr>
        <w:pStyle w:val="P36"/>
        <w:tabs>
          <w:tab w:val="left" w:pos="1418" w:leader="none"/>
          <w:tab w:val="clear" w:pos="1440" w:leader="none"/>
        </w:tabs>
        <w:ind w:hanging="709" w:left="1418"/>
      </w:pPr>
      <w:r>
        <w:t>Softwood Lumber: Unless specified otherwise, softwood, S4S, moisture content 19% or less in accordance with the following standards:</w:t>
      </w:r>
    </w:p>
    <w:p>
      <w:pPr>
        <w:pStyle w:val="P37"/>
        <w:tabs>
          <w:tab w:val="left" w:pos="2127" w:leader="none"/>
        </w:tabs>
        <w:ind w:hanging="709" w:left="2127"/>
      </w:pPr>
      <w:r>
        <w:t>CAN/CSA O141-05 (R2014).</w:t>
      </w:r>
    </w:p>
    <w:p>
      <w:pPr>
        <w:pStyle w:val="P37"/>
        <w:tabs>
          <w:tab w:val="left" w:pos="2127" w:leader="none"/>
          <w:tab w:val="left" w:pos="2835" w:leader="none"/>
        </w:tabs>
        <w:ind w:hanging="709" w:left="2127"/>
      </w:pPr>
      <w:r>
        <w:t>NLGA Standard Grading Rules for Canadian Lumber.</w:t>
      </w:r>
    </w:p>
    <w:p>
      <w:pPr>
        <w:pStyle w:val="P36"/>
        <w:tabs>
          <w:tab w:val="left" w:pos="1418" w:leader="none"/>
          <w:tab w:val="clear" w:pos="1440" w:leader="none"/>
        </w:tabs>
        <w:ind w:hanging="709" w:left="1418"/>
      </w:pPr>
      <w:r>
        <w:t>Concealed Framing Lumber:</w:t>
      </w:r>
    </w:p>
    <w:p>
      <w:pPr>
        <w:pStyle w:val="P37"/>
        <w:tabs>
          <w:tab w:val="left" w:pos="2160" w:leader="none"/>
        </w:tabs>
      </w:pPr>
      <w:r>
        <w:t>No. 2 Ontario White Pine, No. 2 Red Pine or Construction No. 1 Eastern Spruce, Balsam Fir or Jack Pine, COFI Douglas Fir Dense, pressure treated.</w:t>
      </w:r>
    </w:p>
    <w:p>
      <w:pPr>
        <w:pStyle w:val="P36"/>
        <w:tabs>
          <w:tab w:val="left" w:pos="1418" w:leader="none"/>
          <w:tab w:val="clear" w:pos="1440" w:leader="none"/>
        </w:tabs>
        <w:ind w:hanging="709" w:left="1418"/>
      </w:pPr>
      <w:r>
        <w:t>Wood Blocking Exterior to Air (and Vapour) Barrier:</w:t>
      </w:r>
    </w:p>
    <w:p>
      <w:pPr>
        <w:pStyle w:val="P37"/>
        <w:tabs>
          <w:tab w:val="left" w:pos="2160" w:leader="none"/>
        </w:tabs>
      </w:pPr>
      <w:r>
        <w:t>Construction grade pine, vacuum/pressure impregnated to CAN/CSA O80 Series-08 (R2012) Consolidated.</w:t>
      </w:r>
    </w:p>
    <w:p>
      <w:pPr>
        <w:pStyle w:val="P36"/>
        <w:tabs>
          <w:tab w:val="left" w:pos="1418" w:leader="none"/>
          <w:tab w:val="clear" w:pos="1440" w:leader="none"/>
        </w:tabs>
        <w:ind w:hanging="709" w:left="1418"/>
      </w:pPr>
      <w:r>
        <w:t>Pressure Treated Lumber and Pressure Treated Plywood:</w:t>
      </w:r>
    </w:p>
    <w:p>
      <w:pPr>
        <w:pStyle w:val="P37"/>
        <w:tabs>
          <w:tab w:val="left" w:pos="2160" w:leader="none"/>
        </w:tabs>
      </w:pPr>
      <w:r>
        <w:t>CAN/CSA O80 Series-08 (R2012) Consolidated.</w:t>
      </w:r>
    </w:p>
    <w:p>
      <w:pPr>
        <w:pStyle w:val="P36"/>
        <w:tabs>
          <w:tab w:val="left" w:pos="1418" w:leader="none"/>
          <w:tab w:val="clear" w:pos="1440" w:leader="none"/>
        </w:tabs>
        <w:ind w:hanging="709" w:left="1418"/>
      </w:pPr>
      <w:r>
        <w:t>Furring, blocking, nailing strips, grounds, rough bucks, cants, curbs, fascia backing and sleepers:</w:t>
      </w:r>
    </w:p>
    <w:p>
      <w:pPr>
        <w:pStyle w:val="P37"/>
        <w:tabs>
          <w:tab w:val="left" w:pos="2127" w:leader="none"/>
        </w:tabs>
        <w:ind w:hanging="709" w:left="2127"/>
      </w:pPr>
      <w:r>
        <w:t>Board sizes: "Standard" or better grade as defined by the NLGA.</w:t>
      </w:r>
    </w:p>
    <w:p>
      <w:pPr>
        <w:pStyle w:val="P37"/>
        <w:tabs>
          <w:tab w:val="left" w:pos="2127" w:leader="none"/>
        </w:tabs>
        <w:ind w:hanging="709" w:left="2127"/>
      </w:pPr>
      <w:r>
        <w:t>Dimension sizes: "Standard" light framing or better grade.</w:t>
      </w:r>
    </w:p>
    <w:p>
      <w:pPr>
        <w:pStyle w:val="P37"/>
        <w:tabs>
          <w:tab w:val="left" w:pos="2127" w:leader="none"/>
        </w:tabs>
        <w:ind w:hanging="709" w:left="2127"/>
      </w:pPr>
      <w:r>
        <w:t>Post and timbers sizes: "Standard" or better grade.</w:t>
      </w:r>
    </w:p>
    <w:p>
      <w:pPr>
        <w:pStyle w:val="P35"/>
      </w:pPr>
      <w:r>
        <w:t>Panel Materials</w:t>
      </w:r>
    </w:p>
    <w:p>
      <w:pPr>
        <w:pStyle w:val="P36"/>
        <w:tabs>
          <w:tab w:val="left" w:pos="1418" w:leader="none"/>
          <w:tab w:val="clear" w:pos="1440" w:leader="none"/>
        </w:tabs>
        <w:ind w:hanging="709" w:left="1418"/>
      </w:pPr>
      <w:r>
        <w:t>Douglas Fir Plywood (DFP): To CSA O121-08 (R2013), standard construction.</w:t>
      </w:r>
    </w:p>
    <w:p>
      <w:pPr>
        <w:pStyle w:val="P36"/>
        <w:tabs>
          <w:tab w:val="left" w:pos="1418" w:leader="none"/>
          <w:tab w:val="clear" w:pos="1440" w:leader="none"/>
        </w:tabs>
        <w:ind w:hanging="709" w:left="1418"/>
      </w:pPr>
      <w:r>
        <w:t>Canadian Softwood Plywood (CSP): To CSA O151-09 (R2014), standard construction.</w:t>
      </w:r>
    </w:p>
    <w:p>
      <w:pPr>
        <w:pStyle w:val="P36"/>
        <w:tabs>
          <w:tab w:val="left" w:pos="1418" w:leader="none"/>
          <w:tab w:val="clear" w:pos="1440" w:leader="none"/>
        </w:tabs>
        <w:ind w:hanging="709" w:left="1418"/>
      </w:pPr>
      <w:r>
        <w:t>Plywood, OSB and wood based composite panels: To CAN/CSA O325-07 (R2012).</w:t>
      </w:r>
    </w:p>
    <w:p>
      <w:pPr>
        <w:pStyle w:val="P35"/>
      </w:pPr>
      <w:r>
        <w:t>Accessories</w:t>
      </w:r>
    </w:p>
    <w:p>
      <w:pPr>
        <w:pStyle w:val="P36"/>
        <w:tabs>
          <w:tab w:val="left" w:pos="1418" w:leader="none"/>
          <w:tab w:val="clear" w:pos="1440" w:leader="none"/>
        </w:tabs>
        <w:ind w:hanging="709" w:left="1418"/>
      </w:pPr>
      <w:r>
        <w:t>Nails, Spikes and Staples: To CSA B111-1974 (R2003).</w:t>
      </w:r>
    </w:p>
    <w:p>
      <w:pPr>
        <w:pStyle w:val="P36"/>
        <w:tabs>
          <w:tab w:val="left" w:pos="1418" w:leader="none"/>
          <w:tab w:val="clear" w:pos="1440" w:leader="none"/>
        </w:tabs>
        <w:ind w:hanging="709" w:left="1418"/>
      </w:pPr>
      <w:r>
        <w:t>Bolts: 12.5 mm diameter unless indicated otherwise, complete with nuts and washers.</w:t>
      </w:r>
    </w:p>
    <w:p>
      <w:pPr>
        <w:pStyle w:val="P36"/>
        <w:tabs>
          <w:tab w:val="left" w:pos="86" w:leader="none"/>
          <w:tab w:val="left" w:pos="1418" w:leader="none"/>
          <w:tab w:val="clear" w:pos="1440" w:leader="none"/>
        </w:tabs>
        <w:ind w:hanging="709" w:left="1418"/>
      </w:pPr>
      <w:r>
        <w:t xml:space="preserve">Proprietary Fasteners: </w:t>
      </w:r>
    </w:p>
    <w:p>
      <w:pPr>
        <w:pStyle w:val="P37"/>
        <w:tabs>
          <w:tab w:val="left" w:pos="2160" w:leader="none"/>
        </w:tabs>
      </w:pPr>
      <w:r>
        <w:t xml:space="preserve">Toggle bolts, expansion shields and lag bolts, screws and lead or inorganic fibre plugs, </w:t>
      </w:r>
      <w:r>
        <w:rPr>
          <w:highlight w:val="yellow"/>
        </w:rPr>
        <w:t>[explosive actuated fastening devices,]</w:t>
      </w:r>
      <w:r>
        <w:t xml:space="preserve"> recommended for purpose by manufacturer.</w:t>
      </w:r>
    </w:p>
    <w:p>
      <w:pPr>
        <w:pStyle w:val="P37"/>
        <w:tabs>
          <w:tab w:val="left" w:pos="2160" w:leader="none"/>
        </w:tabs>
      </w:pPr>
      <w:r>
        <w:t xml:space="preserve">Type 316 stainless steel screws, length 100 percent greater than board thickness minimum, diameter 3 mm minimum, 13 mm dia. Stainless steel washer 1.0 mm thick minimum. </w:t>
      </w:r>
      <w:r>
        <w:rPr>
          <w:i w:val="1"/>
          <w:highlight w:val="yellow"/>
        </w:rPr>
        <w:t>[Consultant to amend as required]</w:t>
      </w:r>
    </w:p>
    <w:p>
      <w:pPr>
        <w:pStyle w:val="P35"/>
      </w:pPr>
      <w:r>
        <w:t>Finishes</w:t>
      </w:r>
    </w:p>
    <w:p>
      <w:pPr>
        <w:pStyle w:val="P36"/>
        <w:tabs>
          <w:tab w:val="left" w:pos="1418" w:leader="none"/>
          <w:tab w:val="clear" w:pos="1440" w:leader="none"/>
        </w:tabs>
        <w:ind w:hanging="709" w:left="1418"/>
      </w:pPr>
      <w:r>
        <w:t xml:space="preserve">Galvanizing: </w:t>
      </w:r>
      <w:r>
        <w:rPr>
          <w:i w:val="1"/>
          <w:highlight w:val="yellow"/>
        </w:rPr>
        <w:t>[Consultant to insert appropriate replacement for CAN/CSA G164 which has been withdrawn]</w:t>
      </w:r>
      <w:r>
        <w:t>, use galvanized fasteners for exterior work, interior highly humid areas, pressure preservative, fire retardant, treated lumber.</w:t>
      </w:r>
    </w:p>
    <w:p>
      <w:pPr>
        <w:pStyle w:val="P36"/>
        <w:tabs>
          <w:tab w:val="left" w:pos="1418" w:leader="none"/>
          <w:tab w:val="clear" w:pos="1440" w:leader="none"/>
        </w:tabs>
        <w:ind w:hanging="709" w:left="1418"/>
      </w:pPr>
      <w:r>
        <w:t xml:space="preserve">Stainless steel: use stainless steel 304 alloy for chemically corrosive areas and as indicated. </w:t>
      </w:r>
    </w:p>
    <w:p>
      <w:pPr>
        <w:pStyle w:val="P35"/>
      </w:pPr>
      <w:r>
        <w:t>Wood Preservative</w:t>
      </w:r>
    </w:p>
    <w:p>
      <w:pPr>
        <w:pStyle w:val="P36"/>
        <w:tabs>
          <w:tab w:val="left" w:pos="1418" w:leader="none"/>
          <w:tab w:val="clear" w:pos="1440" w:leader="none"/>
        </w:tabs>
        <w:ind w:hanging="709" w:left="1418"/>
      </w:pPr>
      <w:r>
        <w:t xml:space="preserve">Surface applied wood preservative: </w:t>
      </w:r>
      <w:r>
        <w:rPr>
          <w:highlight w:val="yellow"/>
        </w:rPr>
        <w:t>[clear][coloured]</w:t>
      </w:r>
      <w:r>
        <w:t xml:space="preserve"> or copper napthenate or 5% pentachlorophenol solution, water repellent preservative.</w:t>
      </w:r>
    </w:p>
    <w:p>
      <w:pPr>
        <w:pStyle w:val="P36"/>
        <w:tabs>
          <w:tab w:val="left" w:pos="1418" w:leader="none"/>
          <w:tab w:val="clear" w:pos="1440" w:leader="none"/>
          <w:tab w:val="left" w:pos="2410" w:leader="none"/>
        </w:tabs>
        <w:ind w:hanging="709" w:left="1418"/>
      </w:pPr>
      <w:r>
        <w:t>Pentachlorophenol use is restricted to building components that are in ground contact and subject to decay or insect attack only. Where used, pentachlorophenol treated wood must be covered with two coats of a sealer recommended by the manufacturer.</w:t>
      </w:r>
    </w:p>
    <w:p>
      <w:pPr>
        <w:pStyle w:val="P36"/>
        <w:tabs>
          <w:tab w:val="left" w:pos="1418" w:leader="none"/>
          <w:tab w:val="clear" w:pos="1440" w:leader="none"/>
          <w:tab w:val="left" w:pos="2268" w:leader="none"/>
        </w:tabs>
        <w:ind w:hanging="709" w:left="1418"/>
      </w:pPr>
      <w:r>
        <w:t>Structures built with wood treated with pentachlorophenol and inorganic arsenicals must not be used for storing food nor should the wood come in contact with drinking water.</w:t>
      </w:r>
    </w:p>
    <w:p>
      <w:pPr>
        <w:pStyle w:val="P36"/>
        <w:tabs>
          <w:tab w:val="left" w:pos="1418" w:leader="none"/>
          <w:tab w:val="clear" w:pos="1440" w:leader="none"/>
          <w:tab w:val="left" w:pos="2268" w:leader="none"/>
        </w:tabs>
        <w:ind w:hanging="709" w:left="1418"/>
      </w:pPr>
      <w:r>
        <w:t>Submit proof of compatibility between wood preservative used on pressure treated lumber and fasteners to be utilized.</w:t>
      </w:r>
    </w:p>
    <w:p>
      <w:pPr>
        <w:pStyle w:val="P34"/>
      </w:pPr>
      <w:r>
        <w:t>EXECUTION</w:t>
      </w:r>
    </w:p>
    <w:p>
      <w:pPr>
        <w:pStyle w:val="P35"/>
      </w:pPr>
      <w:r>
        <w:t>Preparation</w:t>
      </w:r>
    </w:p>
    <w:p>
      <w:pPr>
        <w:pStyle w:val="P36"/>
        <w:tabs>
          <w:tab w:val="left" w:pos="1418" w:leader="none"/>
          <w:tab w:val="clear" w:pos="1440" w:leader="none"/>
        </w:tabs>
        <w:ind w:hanging="3611"/>
      </w:pPr>
      <w:r>
        <w:t>Treat surfaces of material with wood preservative, before installation.</w:t>
      </w:r>
    </w:p>
    <w:p>
      <w:pPr>
        <w:pStyle w:val="P36"/>
        <w:tabs>
          <w:tab w:val="left" w:pos="1418" w:leader="none"/>
          <w:tab w:val="clear" w:pos="1440" w:leader="none"/>
        </w:tabs>
        <w:ind w:hanging="709" w:left="1418"/>
      </w:pPr>
      <w:r>
        <w:t>Apply preservative by dipping, or by brush to completely saturate and maintain wet film on surface for minimum 3 minute soak on lumber and one minute soak on plywood.</w:t>
      </w:r>
    </w:p>
    <w:p>
      <w:pPr>
        <w:pStyle w:val="P36"/>
        <w:tabs>
          <w:tab w:val="left" w:pos="1418" w:leader="none"/>
          <w:tab w:val="clear" w:pos="1440" w:leader="none"/>
        </w:tabs>
        <w:ind w:hanging="709" w:left="1418"/>
      </w:pPr>
      <w:r>
        <w:t>Re-treat surfaces exposed by cutting, trimming or boring with liberal brush application of preservative before installation.</w:t>
      </w:r>
    </w:p>
    <w:p>
      <w:pPr>
        <w:pStyle w:val="P36"/>
        <w:tabs>
          <w:tab w:val="left" w:pos="1418" w:leader="none"/>
          <w:tab w:val="clear" w:pos="1440" w:leader="none"/>
        </w:tabs>
        <w:ind w:hanging="1418" w:left="2127"/>
      </w:pPr>
      <w:r>
        <w:t>Treat material as indicated:</w:t>
      </w:r>
    </w:p>
    <w:p>
      <w:pPr>
        <w:pStyle w:val="P37"/>
      </w:pPr>
      <w:r>
        <w:t>Wood cants, fascia backing, curbs, nailers, sleepers on roof deck.</w:t>
      </w:r>
    </w:p>
    <w:p>
      <w:pPr>
        <w:pStyle w:val="P37"/>
      </w:pPr>
      <w:r>
        <w:t>Wood furring on outside surface of exterior masonry and concrete walls.</w:t>
      </w:r>
    </w:p>
    <w:p>
      <w:pPr>
        <w:pStyle w:val="P37"/>
      </w:pPr>
      <w:r>
        <w:t>Wood sleepers supporting wood subflooring over concrete slabs in contact with ground or fill.</w:t>
      </w:r>
    </w:p>
    <w:p>
      <w:pPr>
        <w:pStyle w:val="P35"/>
      </w:pPr>
      <w:r>
        <w:t>Installation</w:t>
      </w:r>
    </w:p>
    <w:p>
      <w:pPr>
        <w:pStyle w:val="P36"/>
        <w:tabs>
          <w:tab w:val="left" w:pos="1418" w:leader="none"/>
          <w:tab w:val="clear" w:pos="1440" w:leader="none"/>
        </w:tabs>
        <w:ind w:hanging="709" w:left="1418"/>
      </w:pPr>
      <w:r>
        <w:t>Comply with the requirements of National Building Code, supplemented by the following paragraphs.</w:t>
      </w:r>
    </w:p>
    <w:p>
      <w:pPr>
        <w:pStyle w:val="P36"/>
        <w:tabs>
          <w:tab w:val="left" w:pos="1418" w:leader="none"/>
          <w:tab w:val="clear" w:pos="1440" w:leader="none"/>
        </w:tabs>
        <w:ind w:hanging="709" w:left="1418"/>
      </w:pPr>
      <w:r>
        <w:t>Install furring and blocking as required to space out and support casework, cabinets, wall and ceiling finishes, facings, fascia, soffit, siding and other work as required.</w:t>
      </w:r>
    </w:p>
    <w:p>
      <w:pPr>
        <w:pStyle w:val="P36"/>
        <w:tabs>
          <w:tab w:val="left" w:pos="1418" w:leader="none"/>
          <w:tab w:val="clear" w:pos="1440" w:leader="none"/>
        </w:tabs>
        <w:ind w:hanging="709" w:left="1418"/>
      </w:pPr>
      <w:r>
        <w:t>Align and plumb faces of furring and blocking to tolerance of 1:600.</w:t>
      </w:r>
    </w:p>
    <w:p>
      <w:pPr>
        <w:pStyle w:val="P36"/>
        <w:tabs>
          <w:tab w:val="left" w:pos="1418" w:leader="none"/>
          <w:tab w:val="clear" w:pos="1440" w:leader="none"/>
        </w:tabs>
        <w:ind w:hanging="709" w:left="1418"/>
      </w:pPr>
      <w:r>
        <w:t>Install rough bucks, nailers and linings to rough openings as required to provide backing for frames and other work.</w:t>
      </w:r>
    </w:p>
    <w:p>
      <w:pPr>
        <w:pStyle w:val="P36"/>
        <w:tabs>
          <w:tab w:val="left" w:pos="1418" w:leader="none"/>
          <w:tab w:val="clear" w:pos="1440" w:leader="none"/>
        </w:tabs>
        <w:ind w:hanging="709" w:left="1418"/>
      </w:pPr>
      <w:r>
        <w:t>Install wood cants, fascia backing, nailers, curbs and other wood supports as required and secure using galvanized steel fasteners.</w:t>
      </w:r>
    </w:p>
    <w:p>
      <w:pPr>
        <w:pStyle w:val="P36"/>
        <w:tabs>
          <w:tab w:val="left" w:pos="1418" w:leader="none"/>
          <w:tab w:val="clear" w:pos="1440" w:leader="none"/>
        </w:tabs>
        <w:ind w:hanging="709" w:left="1418"/>
      </w:pPr>
      <w:r>
        <w:t>Install sleepers as indicated in the Contract Documents.</w:t>
      </w:r>
    </w:p>
    <w:p>
      <w:pPr>
        <w:pStyle w:val="P36"/>
        <w:tabs>
          <w:tab w:val="left" w:pos="1418" w:leader="none"/>
          <w:tab w:val="clear" w:pos="1440" w:leader="none"/>
        </w:tabs>
        <w:ind w:hanging="709" w:left="1418"/>
      </w:pPr>
      <w:r>
        <w:t>Use caution when working with particle board. Use dust collectors and high quality respirator masks.</w:t>
      </w:r>
    </w:p>
    <w:p>
      <w:pPr>
        <w:pStyle w:val="P36"/>
        <w:tabs>
          <w:tab w:val="left" w:pos="1418" w:leader="none"/>
          <w:tab w:val="clear" w:pos="1440" w:leader="none"/>
        </w:tabs>
        <w:ind w:hanging="709" w:left="1418"/>
      </w:pPr>
      <w:r>
        <w:t>Select individual pieces without knots and obvious defects that will interfere with placing bolts or proper nailing or making proper connections.</w:t>
      </w:r>
    </w:p>
    <w:p>
      <w:pPr>
        <w:pStyle w:val="P36"/>
        <w:tabs>
          <w:tab w:val="left" w:pos="1418" w:leader="none"/>
          <w:tab w:val="clear" w:pos="1440" w:leader="none"/>
        </w:tabs>
        <w:ind w:hanging="709" w:left="1418"/>
      </w:pPr>
      <w:r>
        <w:t>Cut out and discard defects which will render a piece unable to serve its intended function. Lumber may be rejected by the Consultant, whether or not it has been installed, for excessive warp, twist, bow, crook, mildew, fungus, or mold, as well as for improper cutting and fitting</w:t>
      </w:r>
    </w:p>
    <w:p>
      <w:pPr>
        <w:pStyle w:val="P35"/>
      </w:pPr>
      <w:r>
        <w:t>Erection</w:t>
      </w:r>
    </w:p>
    <w:p>
      <w:pPr>
        <w:pStyle w:val="P36"/>
        <w:tabs>
          <w:tab w:val="left" w:pos="1418" w:leader="none"/>
          <w:tab w:val="clear" w:pos="1440" w:leader="none"/>
        </w:tabs>
        <w:ind w:hanging="709" w:left="1418"/>
      </w:pPr>
      <w:r>
        <w:t>Frame, anchor, fasten, tie and brace members to provide necessary strength and rigidity.</w:t>
      </w:r>
    </w:p>
    <w:p>
      <w:pPr>
        <w:pStyle w:val="P36"/>
        <w:tabs>
          <w:tab w:val="left" w:pos="2127" w:leader="none"/>
        </w:tabs>
        <w:ind w:hanging="2902"/>
      </w:pPr>
      <w:r>
        <w:t>Countersink bolts where necessary to provide clearance for other items of Work.</w:t>
      </w:r>
    </w:p>
    <w:p>
      <w:pPr>
        <w:pStyle w:val="P35"/>
      </w:pPr>
      <w:r>
        <w:t>Electrical Equipment Mounting Boards</w:t>
      </w:r>
    </w:p>
    <w:p>
      <w:pPr>
        <w:pStyle w:val="P36"/>
        <w:tabs>
          <w:tab w:val="left" w:pos="1418" w:leader="none"/>
          <w:tab w:val="clear" w:pos="1440" w:leader="none"/>
        </w:tabs>
        <w:ind w:hanging="709" w:left="1418"/>
      </w:pPr>
      <w:r>
        <w:t>Provide electrical equipment backboards for mounting electrical equipment as indicated. Use 19 mm thick plywood on 19mm x 38mm furring around spacing, perimeter and at maximum 300 mm intermediate.</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Region Number]</w:t>
    </w:r>
    <w:r>
      <w:tab/>
      <w:t>Section 06100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ROUGH CARPENTRY</w:t>
    </w:r>
    <w:r>
      <w:tab/>
      <w:t>2015-10-19</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Region Number]</w:t>
    </w:r>
    <w:r>
      <w:tab/>
      <w:t>Section 06100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ROUGH CARPENTRY</w:t>
    </w:r>
    <w:r>
      <w:tab/>
      <w:t>2015-10-19</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06100</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2015-10-19</w:t>
    </w:r>
    <w:r>
      <w:rPr>
        <w:b w:val="1"/>
      </w:rPr>
      <w:tab/>
      <w:t>ROUGH CARPENTRY</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t xml:space="preserve"> </w:t>
    </w:r>
  </w:p>
  <w:p>
    <w:pPr>
      <w:pStyle w:val="P7"/>
    </w:pPr>
  </w:p>
</w:hdr>
</file>

<file path=word/numbering.xml><?xml version="1.0" encoding="utf-8"?>
<w:numbering xmlns:w="http://schemas.openxmlformats.org/wordprocessingml/2006/main">
  <w:abstractNum w:abstractNumId="0">
    <w:nsid w:val="FFFFFF89"/>
    <w:multiLevelType w:val="hybridMultilevel"/>
    <w:lvl w:ilvl="0" w:tplc="175C2C5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1B7660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62D1AA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13E2099"/>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806"/>
        <w:tabs>
          <w:tab w:val="left" w:pos="806"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63C8351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697D390C"/>
    <w:multiLevelType w:val="hybridMultilevel"/>
    <w:lvl w:ilvl="0" w:tplc="2CC28478">
      <w:start w:val="0"/>
      <w:numFmt w:val="bullet"/>
      <w:suff w:val="tab"/>
      <w:lvlText w:val="-"/>
      <w:lvlJc w:val="left"/>
      <w:pPr>
        <w:ind w:hanging="360" w:left="720"/>
        <w:tabs>
          <w:tab w:val="left" w:pos="720" w:leader="none"/>
        </w:tabs>
      </w:pPr>
      <w:rPr>
        <w:rFonts w:ascii="Book Antiqua" w:hAnsi="Book Antiqua"/>
      </w:rPr>
    </w:lvl>
    <w:lvl w:ilvl="1" w:tplc="5A229B5C">
      <w:start w:val="1"/>
      <w:numFmt w:val="bullet"/>
      <w:suff w:val="tab"/>
      <w:lvlText w:val="o"/>
      <w:lvlJc w:val="left"/>
      <w:pPr>
        <w:ind w:hanging="360" w:left="1440"/>
        <w:tabs>
          <w:tab w:val="left" w:pos="1440" w:leader="none"/>
        </w:tabs>
      </w:pPr>
      <w:rPr>
        <w:rFonts w:ascii="Courier New" w:hAnsi="Courier New"/>
      </w:rPr>
    </w:lvl>
    <w:lvl w:ilvl="2" w:tplc="3A2F1046">
      <w:start w:val="1"/>
      <w:numFmt w:val="bullet"/>
      <w:suff w:val="tab"/>
      <w:lvlText w:val=""/>
      <w:lvlJc w:val="left"/>
      <w:pPr>
        <w:ind w:hanging="360" w:left="2160"/>
        <w:tabs>
          <w:tab w:val="left" w:pos="2160" w:leader="none"/>
        </w:tabs>
      </w:pPr>
      <w:rPr>
        <w:rFonts w:ascii="Wingdings" w:hAnsi="Wingdings"/>
      </w:rPr>
    </w:lvl>
    <w:lvl w:ilvl="3" w:tplc="641A7702">
      <w:start w:val="1"/>
      <w:numFmt w:val="bullet"/>
      <w:suff w:val="tab"/>
      <w:lvlText w:val=""/>
      <w:lvlJc w:val="left"/>
      <w:pPr>
        <w:ind w:hanging="360" w:left="2880"/>
        <w:tabs>
          <w:tab w:val="left" w:pos="2880" w:leader="none"/>
        </w:tabs>
      </w:pPr>
      <w:rPr>
        <w:rFonts w:ascii="Symbol" w:hAnsi="Symbol"/>
      </w:rPr>
    </w:lvl>
    <w:lvl w:ilvl="4" w:tplc="0F2FA070">
      <w:start w:val="1"/>
      <w:numFmt w:val="bullet"/>
      <w:suff w:val="tab"/>
      <w:lvlText w:val="o"/>
      <w:lvlJc w:val="left"/>
      <w:pPr>
        <w:ind w:hanging="360" w:left="3600"/>
        <w:tabs>
          <w:tab w:val="left" w:pos="3600" w:leader="none"/>
        </w:tabs>
      </w:pPr>
      <w:rPr>
        <w:rFonts w:ascii="Courier New" w:hAnsi="Courier New"/>
      </w:rPr>
    </w:lvl>
    <w:lvl w:ilvl="5" w:tplc="2B2A239E">
      <w:start w:val="1"/>
      <w:numFmt w:val="bullet"/>
      <w:suff w:val="tab"/>
      <w:lvlText w:val=""/>
      <w:lvlJc w:val="left"/>
      <w:pPr>
        <w:ind w:hanging="360" w:left="4320"/>
        <w:tabs>
          <w:tab w:val="left" w:pos="4320" w:leader="none"/>
        </w:tabs>
      </w:pPr>
      <w:rPr>
        <w:rFonts w:ascii="Wingdings" w:hAnsi="Wingdings"/>
      </w:rPr>
    </w:lvl>
    <w:lvl w:ilvl="6" w:tplc="0206DDBA">
      <w:start w:val="1"/>
      <w:numFmt w:val="bullet"/>
      <w:suff w:val="tab"/>
      <w:lvlText w:val=""/>
      <w:lvlJc w:val="left"/>
      <w:pPr>
        <w:ind w:hanging="360" w:left="5040"/>
        <w:tabs>
          <w:tab w:val="left" w:pos="5040" w:leader="none"/>
        </w:tabs>
      </w:pPr>
      <w:rPr>
        <w:rFonts w:ascii="Symbol" w:hAnsi="Symbol"/>
      </w:rPr>
    </w:lvl>
    <w:lvl w:ilvl="7" w:tplc="357DC8A6">
      <w:start w:val="1"/>
      <w:numFmt w:val="bullet"/>
      <w:suff w:val="tab"/>
      <w:lvlText w:val="o"/>
      <w:lvlJc w:val="left"/>
      <w:pPr>
        <w:ind w:hanging="360" w:left="5760"/>
        <w:tabs>
          <w:tab w:val="left" w:pos="5760" w:leader="none"/>
        </w:tabs>
      </w:pPr>
      <w:rPr>
        <w:rFonts w:ascii="Courier New" w:hAnsi="Courier New"/>
      </w:rPr>
    </w:lvl>
    <w:lvl w:ilvl="8" w:tplc="1F89CB74">
      <w:start w:val="1"/>
      <w:numFmt w:val="bullet"/>
      <w:suff w:val="tab"/>
      <w:lvlText w:val=""/>
      <w:lvlJc w:val="left"/>
      <w:pPr>
        <w:ind w:hanging="360" w:left="6480"/>
        <w:tabs>
          <w:tab w:val="left" w:pos="6480" w:leader="none"/>
        </w:tabs>
      </w:pPr>
      <w:rPr>
        <w:rFonts w:ascii="Wingdings" w:hAnsi="Wingdings"/>
      </w:rPr>
    </w:lvl>
  </w:abstractNum>
  <w:abstractNum w:abstractNumId="14">
    <w:nsid w:val="7DFE4859"/>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4"/>
  </w:num>
  <w:num w:numId="5">
    <w:abstractNumId w:val="11"/>
  </w:num>
  <w:num w:numId="6">
    <w:abstractNumId w:val="3"/>
  </w:num>
  <w:num w:numId="7">
    <w:abstractNumId w:val="6"/>
  </w:num>
  <w:num w:numId="8">
    <w:abstractNumId w:val="2"/>
  </w:num>
  <w:num w:numId="9">
    <w:abstractNumId w:val="15"/>
  </w:num>
  <w:num w:numId="10">
    <w:abstractNumId w:val="5"/>
  </w:num>
  <w:num w:numId="11">
    <w:abstractNumId w:val="13"/>
  </w:num>
  <w:num w:numId="12">
    <w:abstractNumId w:val="1"/>
  </w:num>
  <w:num w:numId="13">
    <w:abstractNumId w:val="12"/>
  </w:num>
  <w:num w:numId="14">
    <w:abstractNumId w:val="8"/>
  </w:num>
  <w:num w:numId="15">
    <w:abstractNumId w:val="14"/>
  </w:num>
  <w:num w:numId="16">
    <w:abstractNumId w:val="7"/>
  </w:num>
  <w:num w:numId="17">
    <w:abstractNumId w:val="10"/>
  </w:num>
  <w:num w:numId="18">
    <w:abstractNumId w:val="10"/>
  </w:num>
  <w:num w:numId="19">
    <w:abstractNumId w:val="10"/>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8"/>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Heading"/>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20"/>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9"/>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10"/>
    <w:qFormat/>
    <w:pPr>
      <w:numPr>
        <w:numId w:val="28"/>
      </w:numPr>
      <w:tabs>
        <w:tab w:val="left" w:pos="1080" w:leader="none"/>
      </w:tabs>
      <w:spacing w:before="160"/>
      <w:ind w:hanging="1080" w:left="1080"/>
      <w:outlineLvl w:val="0"/>
    </w:pPr>
    <w:rPr>
      <w:rFonts w:ascii="Calibri" w:hAnsi="Calibri"/>
      <w:caps w:val="1"/>
    </w:rPr>
  </w:style>
  <w:style w:type="paragraph" w:styleId="P35">
    <w:name w:val="Heading 2"/>
    <w:basedOn w:val="P22"/>
    <w:next w:val="P0"/>
    <w:link w:val="C11"/>
    <w:qFormat/>
    <w:pPr>
      <w:numPr>
        <w:ilvl w:val="1"/>
        <w:numId w:val="28"/>
      </w:numPr>
      <w:spacing w:before="80"/>
      <w:outlineLvl w:val="1"/>
    </w:pPr>
    <w:rPr>
      <w:rFonts w:ascii="Calibri" w:hAnsi="Calibri"/>
      <w:u w:val="single"/>
    </w:rPr>
  </w:style>
  <w:style w:type="paragraph" w:styleId="P36">
    <w:name w:val="Heading 3"/>
    <w:basedOn w:val="P22"/>
    <w:next w:val="P36"/>
    <w:link w:val="C7"/>
    <w:qFormat/>
    <w:pPr>
      <w:numPr>
        <w:ilvl w:val="2"/>
        <w:numId w:val="28"/>
      </w:numPr>
      <w:contextualSpacing w:val="1"/>
      <w:outlineLvl w:val="2"/>
    </w:pPr>
    <w:rPr/>
  </w:style>
  <w:style w:type="paragraph" w:styleId="P37">
    <w:name w:val="Heading 4"/>
    <w:basedOn w:val="P22"/>
    <w:next w:val="P37"/>
    <w:link w:val="C12"/>
    <w:qFormat/>
    <w:pPr>
      <w:numPr>
        <w:ilvl w:val="3"/>
        <w:numId w:val="28"/>
      </w:numPr>
      <w:contextualSpacing w:val="1"/>
      <w:outlineLvl w:val="3"/>
    </w:pPr>
    <w:rPr/>
  </w:style>
  <w:style w:type="paragraph" w:styleId="P38">
    <w:name w:val="Heading 7"/>
    <w:basedOn w:val="P22"/>
    <w:next w:val="P0"/>
    <w:link w:val="C15"/>
    <w:qFormat/>
    <w:pPr>
      <w:numPr>
        <w:ilvl w:val="6"/>
        <w:numId w:val="28"/>
      </w:numPr>
      <w:contextualSpacing w:val="1"/>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3"/>
    <w:qFormat/>
    <w:pPr>
      <w:numPr>
        <w:ilvl w:val="4"/>
        <w:numId w:val="28"/>
      </w:numPr>
      <w:outlineLvl w:val="4"/>
    </w:pPr>
    <w:rPr/>
  </w:style>
  <w:style w:type="paragraph" w:styleId="P45">
    <w:name w:val="Heading 8"/>
    <w:basedOn w:val="P38"/>
    <w:next w:val="P0"/>
    <w:link w:val="C16"/>
    <w:qFormat/>
    <w:pPr>
      <w:numPr>
        <w:ilvl w:val="7"/>
        <w:numId w:val="28"/>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4"/>
    <w:qFormat/>
    <w:pPr>
      <w:numPr>
        <w:ilvl w:val="5"/>
        <w:numId w:val="28"/>
      </w:numPr>
      <w:outlineLvl w:val="5"/>
    </w:pPr>
    <w:rPr/>
  </w:style>
  <w:style w:type="paragraph" w:styleId="P49">
    <w:name w:val="Heading 9"/>
    <w:basedOn w:val="P45"/>
    <w:next w:val="P0"/>
    <w:link w:val="C17"/>
    <w:qFormat/>
    <w:pPr>
      <w:numPr>
        <w:ilvl w:val="8"/>
        <w:numId w:val="27"/>
      </w:numPr>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Comment Text Char"/>
    <w:link w:val="P2"/>
    <w:rPr>
      <w:rFonts w:ascii="Arial" w:hAnsi="Arial"/>
    </w:rPr>
  </w:style>
  <w:style w:type="character" w:styleId="C9">
    <w:name w:val="Comment Subject Char"/>
    <w:link w:val="P30"/>
    <w:rPr>
      <w:rFonts w:ascii="Book Antiqua" w:hAnsi="Book Antiqua"/>
      <w:b w:val="1"/>
      <w:sz w:val="20"/>
    </w:rPr>
  </w:style>
  <w:style w:type="character" w:styleId="C10">
    <w:name w:val="Heading 1 Char"/>
    <w:link w:val="P34"/>
    <w:rPr>
      <w:rFonts w:ascii="Calibri" w:hAnsi="Calibri"/>
      <w:caps w:val="1"/>
    </w:rPr>
  </w:style>
  <w:style w:type="character" w:styleId="C11">
    <w:name w:val="Heading 2 Char"/>
    <w:link w:val="P35"/>
    <w:rPr>
      <w:rFonts w:ascii="Calibri" w:hAnsi="Calibri"/>
      <w:u w:val="single"/>
    </w:rPr>
  </w:style>
  <w:style w:type="character" w:styleId="C12">
    <w:name w:val="Heading 4 Char"/>
    <w:link w:val="P37"/>
    <w:rPr/>
  </w:style>
  <w:style w:type="character" w:styleId="C13">
    <w:name w:val="Heading 5 Char"/>
    <w:link w:val="P44"/>
    <w:rPr/>
  </w:style>
  <w:style w:type="character" w:styleId="C14">
    <w:name w:val="Heading 6 Char"/>
    <w:link w:val="P48"/>
    <w:rPr/>
  </w:style>
  <w:style w:type="character" w:styleId="C15">
    <w:name w:val="Heading 7 Char"/>
    <w:link w:val="P38"/>
    <w:rPr/>
  </w:style>
  <w:style w:type="character" w:styleId="C16">
    <w:name w:val="Heading 8 Char"/>
    <w:link w:val="P45"/>
    <w:rPr/>
  </w:style>
  <w:style w:type="character" w:styleId="C17">
    <w:name w:val="Heading 9 Char"/>
    <w:link w:val="P49"/>
    <w:rPr/>
  </w:style>
  <w:style w:type="character" w:styleId="C18">
    <w:name w:val="Title Char"/>
    <w:link w:val="P10"/>
    <w:rPr>
      <w:rFonts w:ascii="Arial Narrow" w:hAnsi="Arial Narrow"/>
      <w:b w:val="1"/>
    </w:rPr>
  </w:style>
  <w:style w:type="character" w:styleId="C19">
    <w:name w:val="Strong"/>
    <w:qFormat/>
    <w:rPr>
      <w:b w:val="1"/>
    </w:rPr>
  </w:style>
  <w:style w:type="character" w:styleId="C20">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2015-10-19T13:43:00Z</dcterms:created>
  <cp:lastModifiedBy>Ray</cp:lastModifiedBy>
  <cp:lastPrinted>2012-07-03T19:59:00Z</cp:lastPrinted>
  <dcterms:modified xsi:type="dcterms:W3CDTF">2022-10-04T19:38:51Z</dcterms:modified>
  <cp:revision>4</cp:revision>
  <dc:title>06100_Rough_Carpentry (Oct 19,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2015-10-19T00:00:00Z</vt:lpwstr>
  </property>
</Properties>
</file>