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BEE56B7" Type="http://schemas.openxmlformats.org/officeDocument/2006/relationships/officeDocument" Target="/word/document.xml" /><Relationship Id="coreR7BEE56B7" Type="http://schemas.openxmlformats.org/package/2006/relationships/metadata/core-properties" Target="/docProps/core.xml" /><Relationship Id="customR7BEE56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787" w:type="dxa"/>
        <w:tblLayout w:type="fixed"/>
      </w:tblPr>
      <w:tblGrid/>
      <w:tr>
        <w:trPr>
          <w:gridAfter w:val="1"/>
          <w:wAfter w:w="706" w:type="dxa"/>
        </w:trPr>
        <w:tc>
          <w:tcPr>
            <w:tcW w:w="1314" w:type="dxa"/>
            <w:gridSpan w:val="2"/>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651" w:type="dxa"/>
            <w:gridSpan w:val="2"/>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gridSpan w:val="2"/>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gridBefore w:val="1"/>
          <w:wBefore w:w="711" w:type="dxa"/>
          <w:wAfter w:w="0" w:type="dxa"/>
          <w:trHeight w:hRule="atLeast" w:val="65"/>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7, 2012</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1-5.</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Phase 1 Update (AV)</w:t>
            </w:r>
          </w:p>
        </w:tc>
      </w:tr>
      <w:tr>
        <w:trPr>
          <w:gridBefore w:val="1"/>
          <w:wBefore w:w="711" w:type="dxa"/>
          <w:wAfter w:w="0" w:type="dxa"/>
        </w:trPr>
        <w:tc>
          <w:tcPr>
            <w:tcW w:w="1312" w:type="dxa"/>
            <w:gridSpan w:val="2"/>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7</w:t>
            </w:r>
          </w:p>
        </w:tc>
        <w:tc>
          <w:tcPr>
            <w:tcW w:w="2648" w:type="dxa"/>
            <w:gridSpan w:val="2"/>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November 29,2016</w:t>
            </w:r>
          </w:p>
        </w:tc>
        <w:tc>
          <w:tcPr>
            <w:tcW w:w="5863" w:type="dxa"/>
            <w:gridSpan w:val="2"/>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Update as per Legal Comments (eDOCs# 6396348)</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Related Work</w:t>
      </w:r>
    </w:p>
    <w:p>
      <w:pPr>
        <w:pStyle w:val="P36"/>
        <w:tabs>
          <w:tab w:val="left" w:pos="1418" w:leader="none"/>
          <w:tab w:val="clear" w:pos="1440" w:leader="none"/>
        </w:tabs>
        <w:ind w:left="1418"/>
      </w:pPr>
      <w:r>
        <w:t>Fire stopping and smoke seals within mechanical assemblies (i.e. inside ducts, dampers) and electrical assemblies (i.e. inside cable trays) are specified in Division 15 and 16 respectively.</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33"/>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34"/>
        </w:numPr>
        <w:tabs>
          <w:tab w:val="left" w:pos="1418" w:leader="none"/>
          <w:tab w:val="clear" w:pos="1440" w:leader="none"/>
        </w:tabs>
      </w:pPr>
      <w:r>
        <w:t xml:space="preserve">Section </w:t>
      </w:r>
      <w:r>
        <w:rPr>
          <w:highlight w:val="yellow"/>
        </w:rPr>
        <w:t>[______ – ____________]:</w:t>
      </w:r>
      <w:r>
        <w:t xml:space="preserve">  </w:t>
      </w:r>
      <w:r>
        <w:rPr>
          <w:i w:val="1"/>
          <w:highlight w:val="yellow"/>
        </w:rPr>
        <w:t>[Optional short phrase indicating relationship].</w:t>
      </w:r>
    </w:p>
    <w:p>
      <w:pPr>
        <w:pStyle w:val="P37"/>
      </w:pPr>
      <w:r>
        <w:t>Section 01060 – Regulatory Requirements</w:t>
      </w:r>
    </w:p>
    <w:p>
      <w:pPr>
        <w:pStyle w:val="P37"/>
      </w:pPr>
      <w:r>
        <w:t>Section 01300 – Submittals</w:t>
      </w:r>
    </w:p>
    <w:p>
      <w:pPr>
        <w:pStyle w:val="P37"/>
      </w:pPr>
      <w:r>
        <w:t>Division 15 – Mechanical</w:t>
      </w:r>
    </w:p>
    <w:p>
      <w:pPr>
        <w:pStyle w:val="P37"/>
      </w:pPr>
      <w:r>
        <w:t>Division 16 – Electrical</w:t>
      </w:r>
    </w:p>
    <w:p>
      <w:pPr>
        <w:pStyle w:val="P35"/>
      </w:pPr>
      <w:r>
        <w:t>References</w:t>
      </w:r>
    </w:p>
    <w:p>
      <w:pPr>
        <w:pStyle w:val="P36"/>
      </w:pPr>
      <w:r>
        <w:t xml:space="preserve">Comply with the latest edition of the following statutes, codes, standards and all amendments thereto: </w:t>
      </w:r>
      <w:r>
        <w:rPr>
          <w:i w:val="1"/>
          <w:highlight w:val="yellow"/>
        </w:rPr>
        <w:t>[</w:t>
      </w:r>
      <w:r>
        <w:rPr>
          <w:i w:val="1"/>
          <w:highlight w:val="yellow"/>
        </w:rPr>
        <w:t xml:space="preserve">Consultant to verify </w:t>
      </w:r>
      <w:r>
        <w:rPr>
          <w:i w:val="1"/>
          <w:highlight w:val="yellow"/>
        </w:rPr>
        <w:t xml:space="preserve">standards </w:t>
      </w:r>
      <w:r>
        <w:rPr>
          <w:i w:val="1"/>
          <w:highlight w:val="yellow"/>
        </w:rPr>
        <w:t xml:space="preserve">referenced </w:t>
      </w:r>
      <w:r>
        <w:rPr>
          <w:i w:val="1"/>
          <w:highlight w:val="yellow"/>
        </w:rPr>
        <w:t>in this Section and amend as required]</w:t>
      </w:r>
    </w:p>
    <w:p>
      <w:pPr>
        <w:pStyle w:val="P37"/>
        <w:numPr>
          <w:ilvl w:val="3"/>
          <w:numId w:val="13"/>
        </w:numPr>
      </w:pPr>
      <w:r>
        <w:t>American Society for Testing and Materials (ASTM International):</w:t>
      </w:r>
    </w:p>
    <w:p>
      <w:pPr>
        <w:pStyle w:val="P44"/>
      </w:pPr>
      <w:r>
        <w:t>ASTM E814-13a, Standard Test Method for Fire Tests of Penetration Firestop Systems.</w:t>
      </w:r>
    </w:p>
    <w:p>
      <w:pPr>
        <w:pStyle w:val="P37"/>
        <w:tabs>
          <w:tab w:val="left" w:pos="2127" w:leader="none"/>
        </w:tabs>
        <w:ind w:left="2127"/>
      </w:pPr>
      <w:r>
        <w:t>Underwriters Laboratories of Canada (ULC)</w:t>
      </w:r>
    </w:p>
    <w:p>
      <w:pPr>
        <w:pStyle w:val="P44"/>
      </w:pPr>
      <w:r>
        <w:t>CAN/ULC-S115-11, Standard Method of Fire Tests of Firestop Systems.</w:t>
      </w:r>
    </w:p>
    <w:p>
      <w:pPr>
        <w:pStyle w:val="P44"/>
      </w:pPr>
      <w:r>
        <w:t xml:space="preserve">ULC Guide No. 40 U19, Firestop Systems </w:t>
      </w:r>
    </w:p>
    <w:p>
      <w:pPr>
        <w:pStyle w:val="P44"/>
      </w:pPr>
      <w:r>
        <w:t xml:space="preserve">ULC Guide No.40 U19.13, </w:t>
      </w:r>
    </w:p>
    <w:p>
      <w:pPr>
        <w:pStyle w:val="P44"/>
      </w:pPr>
      <w:r>
        <w:t>ULC Guide No.40 U19.15,</w:t>
      </w:r>
    </w:p>
    <w:p>
      <w:pPr>
        <w:pStyle w:val="P35"/>
      </w:pPr>
      <w:r>
        <w:t>Submittals</w:t>
      </w:r>
    </w:p>
    <w:p>
      <w:pPr>
        <w:pStyle w:val="P36"/>
        <w:tabs>
          <w:tab w:val="left" w:pos="1418" w:leader="none"/>
          <w:tab w:val="clear" w:pos="1440" w:leader="none"/>
        </w:tabs>
        <w:ind w:left="1418"/>
        <w:rPr>
          <w:u w:val="single"/>
        </w:rPr>
      </w:pPr>
      <w:r>
        <w:rPr>
          <w:u w:val="single"/>
        </w:rPr>
        <w:t>Samples</w:t>
      </w:r>
    </w:p>
    <w:p>
      <w:pPr>
        <w:pStyle w:val="P37"/>
        <w:tabs>
          <w:tab w:val="left" w:pos="2127" w:leader="none"/>
        </w:tabs>
        <w:ind w:left="2127"/>
      </w:pPr>
      <w:r>
        <w:t xml:space="preserve">Submit samples in accordance with </w:t>
      </w:r>
      <w:r>
        <w:rPr>
          <w:highlight w:val="yellow"/>
        </w:rPr>
        <w:t>Section 01300 - Submittals</w:t>
      </w:r>
      <w:r>
        <w:t>.</w:t>
      </w:r>
    </w:p>
    <w:p>
      <w:pPr>
        <w:pStyle w:val="P36"/>
        <w:tabs>
          <w:tab w:val="left" w:pos="1418" w:leader="none"/>
          <w:tab w:val="clear" w:pos="1440" w:leader="none"/>
        </w:tabs>
        <w:ind w:left="1418"/>
        <w:rPr>
          <w:u w:val="single"/>
        </w:rPr>
      </w:pPr>
      <w:r>
        <w:rPr>
          <w:u w:val="single"/>
        </w:rPr>
        <w:t>Shop Drawings</w:t>
      </w:r>
    </w:p>
    <w:p>
      <w:pPr>
        <w:pStyle w:val="P37"/>
      </w:pPr>
      <w:r>
        <w:t xml:space="preserve">Submit shop drawings in accordance with </w:t>
      </w:r>
      <w:r>
        <w:rPr>
          <w:highlight w:val="yellow"/>
        </w:rPr>
        <w:t>Section 01300 - Submittals.</w:t>
      </w:r>
    </w:p>
    <w:p>
      <w:pPr>
        <w:pStyle w:val="P37"/>
        <w:tabs>
          <w:tab w:val="left" w:pos="2127" w:leader="none"/>
        </w:tabs>
        <w:ind w:left="2127"/>
      </w:pPr>
      <w:r>
        <w:t>Submit shop drawings to show proposed material, reinforcement, anchorage, fastenings and method of installation. Construction details should accurately reflect actual Site conditions.</w:t>
      </w:r>
    </w:p>
    <w:p>
      <w:pPr>
        <w:pStyle w:val="P36"/>
        <w:tabs>
          <w:tab w:val="left" w:pos="1418" w:leader="none"/>
          <w:tab w:val="clear" w:pos="1440" w:leader="none"/>
        </w:tabs>
        <w:ind w:left="1418"/>
        <w:rPr>
          <w:u w:val="single"/>
        </w:rPr>
      </w:pPr>
      <w:r>
        <w:rPr>
          <w:u w:val="single"/>
        </w:rPr>
        <w:t>Product Data</w:t>
      </w:r>
    </w:p>
    <w:p>
      <w:pPr>
        <w:pStyle w:val="P37"/>
      </w:pPr>
      <w:r>
        <w:t xml:space="preserve">Submit product data in accordance with </w:t>
      </w:r>
      <w:r>
        <w:rPr>
          <w:highlight w:val="yellow"/>
        </w:rPr>
        <w:t>Section 01300 – Submittals</w:t>
      </w:r>
      <w:r>
        <w:t>.</w:t>
      </w:r>
    </w:p>
    <w:p>
      <w:pPr>
        <w:pStyle w:val="P37"/>
        <w:tabs>
          <w:tab w:val="left" w:pos="2127" w:leader="none"/>
        </w:tabs>
        <w:ind w:left="2127"/>
      </w:pPr>
      <w:r>
        <w:t>Submit manufacturer's product data for materials and prefabricated devices, providing descriptions are sufficient for identification at the Site. Include manufacturer's printed instructions for installation.</w:t>
      </w:r>
    </w:p>
    <w:p>
      <w:pPr>
        <w:pStyle w:val="P35"/>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3"/>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3"/>
        </w:numPr>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Materials</w:t>
      </w:r>
    </w:p>
    <w:p>
      <w:pPr>
        <w:pStyle w:val="P36"/>
        <w:tabs>
          <w:tab w:val="left" w:pos="1418" w:leader="none"/>
          <w:tab w:val="clear" w:pos="1440" w:leader="none"/>
        </w:tabs>
        <w:ind w:left="1418"/>
        <w:rPr>
          <w:highlight w:val="yellow"/>
        </w:rPr>
      </w:pPr>
      <w:r>
        <w:t xml:space="preserve">Fire stopping and smoke seal systems: in accordance with CAN/ULC-S115-11 </w:t>
      </w:r>
      <w:r>
        <w:rPr>
          <w:i w:val="1"/>
          <w:highlight w:val="yellow"/>
        </w:rPr>
        <w:t>[and/or ASTM E814-13a, Consultant to modify as required]</w:t>
      </w:r>
      <w:r>
        <w:rPr>
          <w:i w:val="1"/>
          <w:highlight w:val="yellow"/>
        </w:rPr>
        <w:t>.</w:t>
      </w:r>
    </w:p>
    <w:p>
      <w:pPr>
        <w:pStyle w:val="P36"/>
        <w:tabs>
          <w:tab w:val="left" w:pos="1418" w:leader="none"/>
          <w:tab w:val="clear" w:pos="1440" w:leader="none"/>
        </w:tabs>
        <w:ind w:left="1418"/>
        <w:rPr>
          <w:highlight w:val="yellow"/>
        </w:rPr>
      </w:pPr>
      <w:r>
        <w:t xml:space="preserve">Asbestos-free materials and systems capable of maintaining an effective barrier against flame, smoke and gases in compliance with requirements of CAN/ULC-S115-11 </w:t>
      </w:r>
      <w:r>
        <w:rPr>
          <w:i w:val="1"/>
          <w:highlight w:val="yellow"/>
        </w:rPr>
        <w:t>[and/or ASTM E814-13a, Consultant to modify as required].</w:t>
      </w:r>
    </w:p>
    <w:p>
      <w:pPr>
        <w:pStyle w:val="P37"/>
        <w:tabs>
          <w:tab w:val="left" w:pos="2127" w:leader="none"/>
        </w:tabs>
        <w:ind w:left="2127"/>
      </w:pPr>
      <w:r>
        <w:t xml:space="preserve">Not to exceed opening sizes for which they are </w:t>
      </w:r>
      <w:r>
        <w:rPr>
          <w:highlight w:val="yellow"/>
        </w:rPr>
        <w:t>intended [and conforming to special requirements specified in subsection 3.5 below].</w:t>
      </w:r>
    </w:p>
    <w:p>
      <w:pPr>
        <w:pStyle w:val="P37"/>
        <w:tabs>
          <w:tab w:val="left" w:pos="2127" w:leader="none"/>
        </w:tabs>
        <w:ind w:left="2127"/>
      </w:pPr>
      <w:r>
        <w:t xml:space="preserve">Firestop system rating: </w:t>
      </w:r>
      <w:r>
        <w:rPr>
          <w:highlight w:val="yellow"/>
        </w:rPr>
        <w:t>[___]</w:t>
      </w:r>
      <w:r>
        <w:t>.</w:t>
      </w:r>
    </w:p>
    <w:p>
      <w:pPr>
        <w:pStyle w:val="P36"/>
        <w:tabs>
          <w:tab w:val="left" w:pos="1418" w:leader="none"/>
          <w:tab w:val="clear" w:pos="1440" w:leader="none"/>
        </w:tabs>
        <w:ind w:left="1418"/>
      </w:pPr>
      <w:r>
        <w:t xml:space="preserve">Service penetration assemblies: certified by ULC in accordance with CAN/ULC-S115-11 </w:t>
      </w:r>
      <w:r>
        <w:rPr>
          <w:highlight w:val="yellow"/>
        </w:rPr>
        <w:t>[</w:t>
      </w:r>
      <w:r>
        <w:rPr>
          <w:i w:val="1"/>
          <w:highlight w:val="yellow"/>
        </w:rPr>
        <w:t>and/or ASTM E814-13a, Consultant to modify as required].</w:t>
      </w:r>
      <w:r>
        <w:rPr>
          <w:i w:val="1"/>
          <w:highlight w:val="yellow"/>
        </w:rPr>
        <w:t xml:space="preserve"> </w:t>
      </w:r>
      <w:r>
        <w:t>and listed in ULC Guide No.40 U19.</w:t>
      </w:r>
    </w:p>
    <w:p>
      <w:pPr>
        <w:pStyle w:val="P36"/>
        <w:tabs>
          <w:tab w:val="left" w:pos="1418" w:leader="none"/>
          <w:tab w:val="clear" w:pos="1440" w:leader="none"/>
        </w:tabs>
        <w:ind w:left="1418"/>
      </w:pPr>
      <w:r>
        <w:t xml:space="preserve">Service penetration firestop components: certified by ULC in accordance with CAN/ULC-S115-11 </w:t>
      </w:r>
      <w:r>
        <w:rPr>
          <w:i w:val="1"/>
          <w:highlight w:val="yellow"/>
        </w:rPr>
        <w:t>[and/or ASTM E814-13a, Consultant to modify as required]</w:t>
      </w:r>
      <w:r>
        <w:rPr>
          <w:highlight w:val="yellow"/>
        </w:rPr>
        <w:t xml:space="preserve">. </w:t>
      </w:r>
      <w:r>
        <w:t xml:space="preserve"> and listed in ULC Guide No.40 U19.13 and ULC Guide No.40 U19.15 under the Label Service of ULC.</w:t>
      </w:r>
    </w:p>
    <w:p>
      <w:pPr>
        <w:pStyle w:val="P36"/>
        <w:tabs>
          <w:tab w:val="left" w:pos="1418" w:leader="none"/>
          <w:tab w:val="clear" w:pos="1440" w:leader="none"/>
        </w:tabs>
        <w:ind w:left="1418"/>
      </w:pPr>
      <w:r>
        <w:t>Fire-resistance rating of installed fire stopping assembly in accordance with National Building Code (NBC).</w:t>
      </w:r>
    </w:p>
    <w:p>
      <w:pPr>
        <w:pStyle w:val="P36"/>
        <w:tabs>
          <w:tab w:val="left" w:pos="1418" w:leader="none"/>
          <w:tab w:val="clear" w:pos="1440" w:leader="none"/>
        </w:tabs>
        <w:ind w:left="1418"/>
      </w:pPr>
      <w:r>
        <w:t>Fire stopping and smoke seals at openings intended for ease of re-entry such as cables: elastomeric seal.</w:t>
      </w:r>
    </w:p>
    <w:p>
      <w:pPr>
        <w:pStyle w:val="P36"/>
        <w:tabs>
          <w:tab w:val="left" w:pos="1418" w:leader="none"/>
          <w:tab w:val="clear" w:pos="1440" w:leader="none"/>
        </w:tabs>
        <w:ind w:left="1418"/>
      </w:pPr>
      <w:r>
        <w:t>Fire stopping and smoke seals at openings around penetrations for pipes, ductwork and other mechanical items requiring sound and vibration control: elastomeric seal.</w:t>
      </w:r>
    </w:p>
    <w:p>
      <w:pPr>
        <w:pStyle w:val="P36"/>
        <w:tabs>
          <w:tab w:val="left" w:pos="1418" w:leader="none"/>
          <w:tab w:val="clear" w:pos="1440" w:leader="none"/>
        </w:tabs>
        <w:ind w:left="1418"/>
      </w:pPr>
      <w:r>
        <w:t>Primers: to manufacturer's recommendation for specific material, substrate, and end use.</w:t>
      </w:r>
    </w:p>
    <w:p>
      <w:pPr>
        <w:pStyle w:val="P36"/>
        <w:tabs>
          <w:tab w:val="left" w:pos="1418" w:leader="none"/>
          <w:tab w:val="clear" w:pos="1440" w:leader="none"/>
        </w:tabs>
        <w:ind w:left="1418"/>
      </w:pPr>
      <w:r>
        <w:t>Water (if applicable): potable, clean and free from injurious amounts of deleterious substances.</w:t>
      </w:r>
    </w:p>
    <w:p>
      <w:pPr>
        <w:pStyle w:val="P36"/>
        <w:tabs>
          <w:tab w:val="left" w:pos="1418" w:leader="none"/>
          <w:tab w:val="clear" w:pos="1440" w:leader="none"/>
        </w:tabs>
        <w:ind w:left="1418"/>
      </w:pPr>
      <w:r>
        <w:t>Damming and backup materials, supports and anchoring devices: to manufacturer's recommendations, and in accordance with tested assembly being installed as acceptable to authorities having jurisdiction.</w:t>
      </w:r>
    </w:p>
    <w:p>
      <w:pPr>
        <w:pStyle w:val="P36"/>
        <w:tabs>
          <w:tab w:val="left" w:pos="1418" w:leader="none"/>
          <w:tab w:val="clear" w:pos="1440" w:leader="none"/>
        </w:tabs>
        <w:ind w:left="1418"/>
      </w:pPr>
      <w:r>
        <w:t>Sealants for vertical joints: non-sagging.</w:t>
      </w:r>
    </w:p>
    <w:p>
      <w:pPr>
        <w:pStyle w:val="P34"/>
      </w:pPr>
      <w:r>
        <w:t>EXECUTION</w:t>
      </w:r>
    </w:p>
    <w:p>
      <w:pPr>
        <w:pStyle w:val="P35"/>
      </w:pPr>
      <w:r>
        <w:t>Preparation</w:t>
      </w:r>
    </w:p>
    <w:p>
      <w:pPr>
        <w:pStyle w:val="P36"/>
        <w:tabs>
          <w:tab w:val="left" w:pos="1418" w:leader="none"/>
          <w:tab w:val="clear" w:pos="1440" w:leader="none"/>
        </w:tabs>
        <w:ind w:left="1418"/>
      </w:pPr>
      <w:r>
        <w:t>Examine sizes and conditions of voids to be filled to establish correct thicknesses and installation of materials. Ensure that substrates and surfaces are clean, dry and frost free.</w:t>
      </w:r>
    </w:p>
    <w:p>
      <w:pPr>
        <w:pStyle w:val="P36"/>
        <w:tabs>
          <w:tab w:val="left" w:pos="1418" w:leader="none"/>
          <w:tab w:val="clear" w:pos="1440" w:leader="none"/>
        </w:tabs>
        <w:ind w:left="1418"/>
      </w:pPr>
      <w:r>
        <w:t>Prepare surfaces in contact with fire stopping materials and smoke seals to manufacturer's instructions.</w:t>
      </w:r>
    </w:p>
    <w:p>
      <w:pPr>
        <w:pStyle w:val="P36"/>
        <w:tabs>
          <w:tab w:val="left" w:pos="1418" w:leader="none"/>
          <w:tab w:val="clear" w:pos="1440" w:leader="none"/>
        </w:tabs>
        <w:ind w:left="1418"/>
        <w:rPr>
          <w:highlight w:val="yellow"/>
        </w:rPr>
      </w:pPr>
      <w:r>
        <w:t xml:space="preserve">Maintain insulation around pipes and ducts penetrating fire separation </w:t>
      </w:r>
      <w:r>
        <w:rPr>
          <w:highlight w:val="yellow"/>
        </w:rPr>
        <w:t>[without interruption to vapour barrier]</w:t>
      </w:r>
      <w:r>
        <w:t>.</w:t>
      </w:r>
    </w:p>
    <w:p>
      <w:pPr>
        <w:pStyle w:val="P36"/>
        <w:tabs>
          <w:tab w:val="left" w:pos="1418" w:leader="none"/>
          <w:tab w:val="clear" w:pos="1440" w:leader="none"/>
        </w:tabs>
        <w:ind w:left="1418"/>
      </w:pPr>
      <w:r>
        <w:t>Mask where necessary to avoid spillage and over coating onto adjoining surfaces; remove stains on adjacent surfaces.</w:t>
      </w:r>
    </w:p>
    <w:p>
      <w:pPr>
        <w:pStyle w:val="P35"/>
      </w:pPr>
      <w:r>
        <w:t>Installation</w:t>
      </w:r>
    </w:p>
    <w:p>
      <w:pPr>
        <w:pStyle w:val="P36"/>
        <w:tabs>
          <w:tab w:val="left" w:pos="1418" w:leader="none"/>
          <w:tab w:val="clear" w:pos="1440" w:leader="none"/>
        </w:tabs>
        <w:ind w:left="1418"/>
      </w:pPr>
      <w:r>
        <w:t>Install fire stopping and smoke seal material and components in accordance with ULC certification and manufacturer's instructions.</w:t>
      </w:r>
    </w:p>
    <w:p>
      <w:pPr>
        <w:pStyle w:val="P36"/>
        <w:tabs>
          <w:tab w:val="left" w:pos="1418" w:leader="none"/>
          <w:tab w:val="clear" w:pos="1440" w:leader="none"/>
        </w:tabs>
        <w:ind w:left="1418"/>
      </w:pPr>
      <w:r>
        <w:t>Seal holes or voids made by through penetrations, poke-through termination devices, and unpenetrated openings or joints to ensure continuity and integrity of fire separation are maintained.</w:t>
      </w:r>
    </w:p>
    <w:p>
      <w:pPr>
        <w:pStyle w:val="P36"/>
        <w:tabs>
          <w:tab w:val="left" w:pos="1418" w:leader="none"/>
          <w:tab w:val="clear" w:pos="1440" w:leader="none"/>
        </w:tabs>
        <w:ind w:left="1418"/>
      </w:pPr>
      <w:r>
        <w:t>Provide temporary forming as required and remove forming only after materials have gained sufficient strength and after initial curing.</w:t>
      </w:r>
    </w:p>
    <w:p>
      <w:pPr>
        <w:pStyle w:val="P36"/>
        <w:tabs>
          <w:tab w:val="left" w:pos="1418" w:leader="none"/>
          <w:tab w:val="clear" w:pos="1440" w:leader="none"/>
        </w:tabs>
        <w:ind w:left="1418"/>
      </w:pPr>
      <w:r>
        <w:t>Tool or trowel exposed surfaces to a neat finish.</w:t>
      </w:r>
    </w:p>
    <w:p>
      <w:pPr>
        <w:pStyle w:val="P36"/>
        <w:tabs>
          <w:tab w:val="left" w:pos="1418" w:leader="none"/>
          <w:tab w:val="clear" w:pos="1440" w:leader="none"/>
        </w:tabs>
        <w:ind w:left="1418"/>
      </w:pPr>
      <w:r>
        <w:t>Remove excess compound promptly as work progresses and upon completion.</w:t>
      </w:r>
    </w:p>
    <w:p>
      <w:pPr>
        <w:pStyle w:val="P35"/>
      </w:pPr>
      <w:r>
        <w:t>Inspection</w:t>
      </w:r>
    </w:p>
    <w:p>
      <w:pPr>
        <w:pStyle w:val="P36"/>
        <w:tabs>
          <w:tab w:val="left" w:pos="1418" w:leader="none"/>
          <w:tab w:val="clear" w:pos="1440" w:leader="none"/>
        </w:tabs>
        <w:ind w:left="1418"/>
      </w:pPr>
      <w:r>
        <w:t>Notify the Consultant when ready for inspection and prior to concealing or enclosing firestopping materials and service penetration assemblies.</w:t>
      </w:r>
    </w:p>
    <w:p>
      <w:pPr>
        <w:pStyle w:val="P35"/>
      </w:pPr>
      <w:r>
        <w:t>Schedule</w:t>
      </w:r>
    </w:p>
    <w:p>
      <w:pPr>
        <w:pStyle w:val="P36"/>
        <w:tabs>
          <w:tab w:val="left" w:pos="1418" w:leader="none"/>
          <w:tab w:val="clear" w:pos="1440" w:leader="none"/>
        </w:tabs>
        <w:ind w:left="1418"/>
      </w:pPr>
      <w:r>
        <w:t>Firestop and smoke seal at:</w:t>
      </w:r>
    </w:p>
    <w:p>
      <w:pPr>
        <w:pStyle w:val="P37"/>
        <w:tabs>
          <w:tab w:val="left" w:pos="2127" w:leader="none"/>
        </w:tabs>
        <w:ind w:left="2127"/>
      </w:pPr>
      <w:r>
        <w:t>Penetrations through fire-resistance rated masonry, concrete, and gypsum board partitions and walls.</w:t>
      </w:r>
    </w:p>
    <w:p>
      <w:pPr>
        <w:pStyle w:val="P37"/>
        <w:tabs>
          <w:tab w:val="left" w:pos="2127" w:leader="none"/>
        </w:tabs>
        <w:ind w:left="2127"/>
      </w:pPr>
      <w:r>
        <w:t>Edge of floor slabs at curtain wall and precast concrete panels.</w:t>
      </w:r>
    </w:p>
    <w:p>
      <w:pPr>
        <w:pStyle w:val="P37"/>
        <w:tabs>
          <w:tab w:val="left" w:pos="2127" w:leader="none"/>
        </w:tabs>
        <w:ind w:left="2127"/>
      </w:pPr>
      <w:r>
        <w:t>Top of fire-resistance rated masonry and gypsum board partitions.</w:t>
      </w:r>
    </w:p>
    <w:p>
      <w:pPr>
        <w:pStyle w:val="P37"/>
        <w:tabs>
          <w:tab w:val="left" w:pos="2127" w:leader="none"/>
        </w:tabs>
        <w:ind w:left="2127"/>
      </w:pPr>
      <w:r>
        <w:t>Intersection of fire-resistance rated masonry and gypsum board partitions.</w:t>
      </w:r>
    </w:p>
    <w:p>
      <w:pPr>
        <w:pStyle w:val="P37"/>
        <w:tabs>
          <w:tab w:val="left" w:pos="2127" w:leader="none"/>
        </w:tabs>
        <w:ind w:left="2127"/>
      </w:pPr>
      <w:r>
        <w:t>Control and sway joints in fire-resistance rated masonry and gypsum board partitions and walls.</w:t>
      </w:r>
    </w:p>
    <w:p>
      <w:pPr>
        <w:pStyle w:val="P37"/>
        <w:tabs>
          <w:tab w:val="left" w:pos="2127" w:leader="none"/>
        </w:tabs>
        <w:ind w:left="2127"/>
      </w:pPr>
      <w:r>
        <w:t>Penetrations through fire-resistance rated floor slabs, ceilings and roofs.</w:t>
      </w:r>
    </w:p>
    <w:p>
      <w:pPr>
        <w:pStyle w:val="P37"/>
        <w:tabs>
          <w:tab w:val="left" w:pos="2127" w:leader="none"/>
        </w:tabs>
        <w:ind w:left="2127"/>
      </w:pPr>
      <w:r>
        <w:t>Openings and sleeves installed for future use through fire separations.</w:t>
      </w:r>
    </w:p>
    <w:p>
      <w:pPr>
        <w:pStyle w:val="P37"/>
        <w:tabs>
          <w:tab w:val="left" w:pos="2127" w:leader="none"/>
        </w:tabs>
        <w:ind w:left="2127"/>
      </w:pPr>
      <w:r>
        <w:t>Around mechanical and electrical assemblies penetrating fire separations.</w:t>
      </w:r>
    </w:p>
    <w:p>
      <w:pPr>
        <w:pStyle w:val="P37"/>
        <w:tabs>
          <w:tab w:val="left" w:pos="2127" w:leader="none"/>
        </w:tabs>
        <w:ind w:left="2127"/>
      </w:pPr>
      <w:r>
        <w:t xml:space="preserve">Rigid ducts: greater than </w:t>
      </w:r>
      <w:r>
        <w:rPr>
          <w:highlight w:val="yellow"/>
        </w:rPr>
        <w:t>[129 cm</w:t>
      </w:r>
      <w:r>
        <w:rPr>
          <w:highlight w:val="yellow"/>
          <w:vertAlign w:val="superscript"/>
        </w:rPr>
        <w:t>2</w:t>
      </w:r>
      <w:r>
        <w:rPr>
          <w:highlight w:val="yellow"/>
        </w:rPr>
        <w:t>]:</w:t>
      </w:r>
      <w:r>
        <w:t xml:space="preserve"> fire stopping to consist of bead of fire stopping material between retaining angle and fire separation and between retaining angle and duct, on each side of fire separation.</w:t>
      </w:r>
    </w:p>
    <w:p>
      <w:pPr>
        <w:pStyle w:val="P35"/>
      </w:pPr>
      <w:r>
        <w:t>Special Requirements</w:t>
      </w:r>
    </w:p>
    <w:p>
      <w:pPr>
        <w:pStyle w:val="P36"/>
        <w:tabs>
          <w:tab w:val="left" w:pos="1418" w:leader="none"/>
          <w:tab w:val="clear" w:pos="1440" w:leader="none"/>
        </w:tabs>
        <w:ind w:left="1418"/>
      </w:pPr>
      <w:r>
        <w:t>Location of special requirements for fire stopping and smoke seal materials at openings and penetrations in fire resistant rated assemblies are as follows:</w:t>
      </w:r>
    </w:p>
    <w:p>
      <w:pPr>
        <w:pStyle w:val="P37"/>
        <w:tabs>
          <w:tab w:val="left" w:pos="2127" w:leader="none"/>
        </w:tabs>
        <w:ind w:left="2127"/>
      </w:pPr>
      <w:r>
        <w:t xml:space="preserve">Non dust generation: at </w:t>
      </w:r>
      <w:r>
        <w:rPr>
          <w:i w:val="1"/>
          <w:highlight w:val="yellow"/>
        </w:rPr>
        <w:t>[</w:t>
      </w:r>
      <w:r>
        <w:rPr>
          <w:i w:val="1"/>
          <w:highlight w:val="yellow"/>
        </w:rPr>
        <w:t xml:space="preserve">insert </w:t>
      </w:r>
      <w:r>
        <w:rPr>
          <w:i w:val="1"/>
          <w:highlight w:val="yellow"/>
        </w:rPr>
        <w:t>location]</w:t>
      </w:r>
    </w:p>
    <w:p>
      <w:pPr>
        <w:pStyle w:val="P37"/>
        <w:tabs>
          <w:tab w:val="left" w:pos="2127" w:leader="none"/>
        </w:tabs>
        <w:ind w:left="2127"/>
      </w:pPr>
      <w:r>
        <w:t>Movement</w:t>
      </w:r>
      <w:r>
        <w:rPr>
          <w:highlight w:val="yellow"/>
        </w:rPr>
        <w:t>: [[___] [%]].</w:t>
      </w:r>
    </w:p>
    <w:p>
      <w:pPr>
        <w:pStyle w:val="P37"/>
        <w:tabs>
          <w:tab w:val="left" w:pos="2127" w:leader="none"/>
        </w:tabs>
        <w:ind w:left="2127"/>
      </w:pPr>
      <w:r>
        <w:t xml:space="preserve">Designed for re-entry, removable at: </w:t>
      </w:r>
      <w:r>
        <w:rPr>
          <w:i w:val="1"/>
          <w:highlight w:val="yellow"/>
        </w:rPr>
        <w:t>[</w:t>
      </w:r>
      <w:r>
        <w:rPr>
          <w:i w:val="1"/>
          <w:highlight w:val="yellow"/>
        </w:rPr>
        <w:t xml:space="preserve">insert </w:t>
      </w:r>
      <w:r>
        <w:rPr>
          <w:i w:val="1"/>
          <w:highlight w:val="yellow"/>
        </w:rPr>
        <w:t>location]</w:t>
      </w:r>
      <w:r>
        <w:rPr>
          <w:i w:val="1"/>
        </w:rPr>
        <w:t>.</w:t>
      </w:r>
    </w:p>
    <w:p>
      <w:pPr>
        <w:pStyle w:val="P37"/>
        <w:tabs>
          <w:tab w:val="left" w:pos="2127" w:leader="none"/>
        </w:tabs>
        <w:ind w:left="2127"/>
      </w:pPr>
      <w:r>
        <w:rPr>
          <w:highlight w:val="yellow"/>
        </w:rPr>
        <w:t>[___]</w:t>
      </w:r>
      <w:r>
        <w:t xml:space="preserve"> rating except at </w:t>
      </w:r>
      <w:r>
        <w:rPr>
          <w:i w:val="1"/>
          <w:highlight w:val="yellow"/>
        </w:rPr>
        <w:t>[</w:t>
      </w:r>
      <w:r>
        <w:rPr>
          <w:i w:val="1"/>
          <w:highlight w:val="yellow"/>
        </w:rPr>
        <w:t xml:space="preserve">insert </w:t>
      </w:r>
      <w:r>
        <w:rPr>
          <w:i w:val="1"/>
          <w:highlight w:val="yellow"/>
        </w:rPr>
        <w:t>location]</w:t>
      </w:r>
      <w:r>
        <w:t>.</w:t>
      </w:r>
    </w:p>
    <w:p>
      <w:pPr>
        <w:pStyle w:val="P35"/>
      </w:pPr>
      <w:r>
        <w:t>Clean Up</w:t>
      </w:r>
    </w:p>
    <w:p>
      <w:pPr>
        <w:pStyle w:val="P36"/>
        <w:tabs>
          <w:tab w:val="left" w:pos="1418" w:leader="none"/>
          <w:tab w:val="clear" w:pos="1440" w:leader="none"/>
        </w:tabs>
        <w:ind w:left="1418"/>
      </w:pPr>
      <w:r>
        <w:t>Remove excess materials and debris and clean adjacent surfaces immediately after application.</w:t>
      </w:r>
    </w:p>
    <w:p>
      <w:pPr>
        <w:pStyle w:val="P36"/>
        <w:tabs>
          <w:tab w:val="left" w:pos="1418" w:leader="none"/>
          <w:tab w:val="clear" w:pos="1440" w:leader="none"/>
        </w:tabs>
        <w:ind w:left="1418"/>
      </w:pPr>
      <w:r>
        <w:t>Remove temporary dams after initial set of fire stopping and smoke seal materials.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07840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FIRESTOPPING</w:t>
    </w:r>
    <w:r>
      <w:tab/>
      <w:t>2015-04-23</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07840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FIRESTOPPING</w:t>
    </w:r>
    <w:r>
      <w:tab/>
      <w:t>2016-11-29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07840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2016-11-29</w:t>
    </w:r>
    <w:r>
      <w:rPr>
        <w:b w:val="1"/>
      </w:rPr>
      <w:tab/>
      <w:t>FIRESTOPPING</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tabs>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715CF3E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0F5312B"/>
    <w:multiLevelType w:val="hybridMultilevel"/>
    <w:lvl w:ilvl="0" w:tplc="5E4DCE32">
      <w:start w:val="1"/>
      <w:numFmt w:val="bullet"/>
      <w:suff w:val="tab"/>
      <w:lvlText w:val=""/>
      <w:lvlJc w:val="left"/>
      <w:pPr>
        <w:ind w:hanging="284" w:left="851"/>
        <w:tabs>
          <w:tab w:val="left" w:pos="851" w:leader="none"/>
        </w:tabs>
      </w:pPr>
      <w:rPr>
        <w:rFonts w:ascii="Symbol" w:hAnsi="Symbol"/>
        <w:color w:val="auto"/>
      </w:rPr>
    </w:lvl>
    <w:lvl w:ilvl="1" w:tplc="5976DB6A">
      <w:start w:val="1"/>
      <w:numFmt w:val="bullet"/>
      <w:suff w:val="tab"/>
      <w:lvlText w:val="o"/>
      <w:lvlJc w:val="left"/>
      <w:pPr>
        <w:ind w:hanging="360" w:left="1440"/>
        <w:tabs>
          <w:tab w:val="left" w:pos="1440" w:leader="none"/>
        </w:tabs>
      </w:pPr>
      <w:rPr>
        <w:rFonts w:ascii="Courier New" w:hAnsi="Courier New"/>
      </w:rPr>
    </w:lvl>
    <w:lvl w:ilvl="2" w:tplc="19454095">
      <w:start w:val="1"/>
      <w:numFmt w:val="bullet"/>
      <w:suff w:val="tab"/>
      <w:lvlText w:val=""/>
      <w:lvlJc w:val="left"/>
      <w:pPr>
        <w:ind w:hanging="360" w:left="2160"/>
        <w:tabs>
          <w:tab w:val="left" w:pos="2160" w:leader="none"/>
        </w:tabs>
      </w:pPr>
      <w:rPr>
        <w:rFonts w:ascii="Wingdings" w:hAnsi="Wingdings"/>
      </w:rPr>
    </w:lvl>
    <w:lvl w:ilvl="3" w:tplc="26706E92">
      <w:start w:val="1"/>
      <w:numFmt w:val="bullet"/>
      <w:suff w:val="tab"/>
      <w:lvlText w:val=""/>
      <w:lvlJc w:val="left"/>
      <w:pPr>
        <w:ind w:hanging="360" w:left="2880"/>
        <w:tabs>
          <w:tab w:val="left" w:pos="2880" w:leader="none"/>
        </w:tabs>
      </w:pPr>
      <w:rPr>
        <w:rFonts w:ascii="Symbol" w:hAnsi="Symbol"/>
      </w:rPr>
    </w:lvl>
    <w:lvl w:ilvl="4" w:tplc="2E6BF544">
      <w:start w:val="1"/>
      <w:numFmt w:val="bullet"/>
      <w:suff w:val="tab"/>
      <w:lvlText w:val="o"/>
      <w:lvlJc w:val="left"/>
      <w:pPr>
        <w:ind w:hanging="360" w:left="3600"/>
        <w:tabs>
          <w:tab w:val="left" w:pos="3600" w:leader="none"/>
        </w:tabs>
      </w:pPr>
      <w:rPr>
        <w:rFonts w:ascii="Courier New" w:hAnsi="Courier New"/>
      </w:rPr>
    </w:lvl>
    <w:lvl w:ilvl="5" w:tplc="6FAB8E19">
      <w:start w:val="1"/>
      <w:numFmt w:val="bullet"/>
      <w:suff w:val="tab"/>
      <w:lvlText w:val=""/>
      <w:lvlJc w:val="left"/>
      <w:pPr>
        <w:ind w:hanging="360" w:left="4320"/>
        <w:tabs>
          <w:tab w:val="left" w:pos="4320" w:leader="none"/>
        </w:tabs>
      </w:pPr>
      <w:rPr>
        <w:rFonts w:ascii="Wingdings" w:hAnsi="Wingdings"/>
      </w:rPr>
    </w:lvl>
    <w:lvl w:ilvl="6" w:tplc="1CD9D43B">
      <w:start w:val="1"/>
      <w:numFmt w:val="bullet"/>
      <w:suff w:val="tab"/>
      <w:lvlText w:val=""/>
      <w:lvlJc w:val="left"/>
      <w:pPr>
        <w:ind w:hanging="360" w:left="5040"/>
        <w:tabs>
          <w:tab w:val="left" w:pos="5040" w:leader="none"/>
        </w:tabs>
      </w:pPr>
      <w:rPr>
        <w:rFonts w:ascii="Symbol" w:hAnsi="Symbol"/>
      </w:rPr>
    </w:lvl>
    <w:lvl w:ilvl="7" w:tplc="40B92E8A">
      <w:start w:val="1"/>
      <w:numFmt w:val="bullet"/>
      <w:suff w:val="tab"/>
      <w:lvlText w:val="o"/>
      <w:lvlJc w:val="left"/>
      <w:pPr>
        <w:ind w:hanging="360" w:left="5760"/>
        <w:tabs>
          <w:tab w:val="left" w:pos="5760" w:leader="none"/>
        </w:tabs>
      </w:pPr>
      <w:rPr>
        <w:rFonts w:ascii="Courier New" w:hAnsi="Courier New"/>
      </w:rPr>
    </w:lvl>
    <w:lvl w:ilvl="8" w:tplc="22D4012F">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082"/>
        <w:tabs>
          <w:tab w:val="left" w:pos="2082"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C5E689F"/>
    <w:multiLevelType w:val="hybridMultilevel"/>
    <w:lvl w:ilvl="0" w:tplc="2D575954">
      <w:start w:val="1"/>
      <w:numFmt w:val="bullet"/>
      <w:suff w:val="tab"/>
      <w:lvlText w:val=""/>
      <w:lvlJc w:val="left"/>
      <w:pPr>
        <w:ind w:hanging="284" w:left="851"/>
        <w:tabs>
          <w:tab w:val="left" w:pos="851" w:leader="none"/>
        </w:tabs>
      </w:pPr>
      <w:rPr>
        <w:rFonts w:ascii="Symbol" w:hAnsi="Symbol"/>
        <w:color w:val="auto"/>
      </w:rPr>
    </w:lvl>
    <w:lvl w:ilvl="1" w:tplc="357F7C1E">
      <w:start w:val="1"/>
      <w:numFmt w:val="bullet"/>
      <w:suff w:val="tab"/>
      <w:lvlText w:val="o"/>
      <w:lvlJc w:val="left"/>
      <w:pPr>
        <w:ind w:hanging="360" w:left="1440"/>
        <w:tabs>
          <w:tab w:val="left" w:pos="1440" w:leader="none"/>
        </w:tabs>
      </w:pPr>
      <w:rPr>
        <w:rFonts w:ascii="Courier New" w:hAnsi="Courier New"/>
      </w:rPr>
    </w:lvl>
    <w:lvl w:ilvl="2" w:tplc="47DD8C4C">
      <w:start w:val="1"/>
      <w:numFmt w:val="bullet"/>
      <w:suff w:val="tab"/>
      <w:lvlText w:val=""/>
      <w:lvlJc w:val="left"/>
      <w:pPr>
        <w:ind w:hanging="360" w:left="2160"/>
        <w:tabs>
          <w:tab w:val="left" w:pos="2160" w:leader="none"/>
        </w:tabs>
      </w:pPr>
      <w:rPr>
        <w:rFonts w:ascii="Wingdings" w:hAnsi="Wingdings"/>
      </w:rPr>
    </w:lvl>
    <w:lvl w:ilvl="3" w:tplc="5CBD1A8B">
      <w:start w:val="1"/>
      <w:numFmt w:val="bullet"/>
      <w:suff w:val="tab"/>
      <w:lvlText w:val=""/>
      <w:lvlJc w:val="left"/>
      <w:pPr>
        <w:ind w:hanging="360" w:left="2880"/>
        <w:tabs>
          <w:tab w:val="left" w:pos="2880" w:leader="none"/>
        </w:tabs>
      </w:pPr>
      <w:rPr>
        <w:rFonts w:ascii="Symbol" w:hAnsi="Symbol"/>
      </w:rPr>
    </w:lvl>
    <w:lvl w:ilvl="4" w:tplc="39B4DEB9">
      <w:start w:val="1"/>
      <w:numFmt w:val="bullet"/>
      <w:suff w:val="tab"/>
      <w:lvlText w:val="o"/>
      <w:lvlJc w:val="left"/>
      <w:pPr>
        <w:ind w:hanging="360" w:left="3600"/>
        <w:tabs>
          <w:tab w:val="left" w:pos="3600" w:leader="none"/>
        </w:tabs>
      </w:pPr>
      <w:rPr>
        <w:rFonts w:ascii="Courier New" w:hAnsi="Courier New"/>
      </w:rPr>
    </w:lvl>
    <w:lvl w:ilvl="5" w:tplc="142E0276">
      <w:start w:val="1"/>
      <w:numFmt w:val="bullet"/>
      <w:suff w:val="tab"/>
      <w:lvlText w:val=""/>
      <w:lvlJc w:val="left"/>
      <w:pPr>
        <w:ind w:hanging="360" w:left="4320"/>
        <w:tabs>
          <w:tab w:val="left" w:pos="4320" w:leader="none"/>
        </w:tabs>
      </w:pPr>
      <w:rPr>
        <w:rFonts w:ascii="Wingdings" w:hAnsi="Wingdings"/>
      </w:rPr>
    </w:lvl>
    <w:lvl w:ilvl="6" w:tplc="2AB5C6FE">
      <w:start w:val="1"/>
      <w:numFmt w:val="bullet"/>
      <w:suff w:val="tab"/>
      <w:lvlText w:val=""/>
      <w:lvlJc w:val="left"/>
      <w:pPr>
        <w:ind w:hanging="360" w:left="5040"/>
        <w:tabs>
          <w:tab w:val="left" w:pos="5040" w:leader="none"/>
        </w:tabs>
      </w:pPr>
      <w:rPr>
        <w:rFonts w:ascii="Symbol" w:hAnsi="Symbol"/>
      </w:rPr>
    </w:lvl>
    <w:lvl w:ilvl="7" w:tplc="03C7C42C">
      <w:start w:val="1"/>
      <w:numFmt w:val="bullet"/>
      <w:suff w:val="tab"/>
      <w:lvlText w:val="o"/>
      <w:lvlJc w:val="left"/>
      <w:pPr>
        <w:ind w:hanging="360" w:left="5760"/>
        <w:tabs>
          <w:tab w:val="left" w:pos="5760" w:leader="none"/>
        </w:tabs>
      </w:pPr>
      <w:rPr>
        <w:rFonts w:ascii="Courier New" w:hAnsi="Courier New"/>
      </w:rPr>
    </w:lvl>
    <w:lvl w:ilvl="8" w:tplc="18D4AB4A">
      <w:start w:val="1"/>
      <w:numFmt w:val="bullet"/>
      <w:suff w:val="tab"/>
      <w:lvlText w:val=""/>
      <w:lvlJc w:val="left"/>
      <w:pPr>
        <w:ind w:hanging="360" w:left="6480"/>
        <w:tabs>
          <w:tab w:val="left" w:pos="6480" w:leader="none"/>
        </w:tabs>
      </w:pPr>
      <w:rPr>
        <w:rFonts w:ascii="Wingdings" w:hAnsi="Wingdings"/>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2"/>
  </w:num>
  <w:num w:numId="9">
    <w:abstractNumId w:val="12"/>
  </w:num>
  <w:num w:numId="10">
    <w:abstractNumId w:val="5"/>
  </w:num>
  <w:num w:numId="11">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1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7"/>
  </w:num>
  <w:num w:numId="32">
    <w:abstractNumId w:val="7"/>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SpecNote"/>
    <w:basedOn w:val="P0"/>
    <w:next w:val="P19"/>
    <w:pPr>
      <w:pBdr>
        <w:top w:val="double" w:sz="6" w:space="0" w:shadow="0" w:frame="0" w:color="0080FF"/>
        <w:left w:val="double" w:sz="6" w:space="0" w:shadow="0" w:frame="0" w:color="0080FF"/>
        <w:bottom w:val="double" w:sz="6" w:space="0" w:shadow="0" w:frame="0" w:color="0080FF"/>
        <w:right w:val="double" w:sz="6" w:space="0" w:shadow="0" w:frame="0" w:color="0080FF"/>
      </w:pBdr>
    </w:pPr>
    <w:rPr>
      <w:rFonts w:ascii="Times New Roman" w:hAnsi="Times New Roman"/>
      <w:i w:val="1"/>
      <w:vanish w:val="1"/>
      <w:color w:val="0080FF"/>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8"/>
    <w:pPr/>
    <w:rPr>
      <w:rFonts w:ascii="Courier New" w:hAnsi="Courier New"/>
      <w:sz w:val="20"/>
    </w:rPr>
  </w:style>
  <w:style w:type="paragraph" w:styleId="P25">
    <w:name w:val="Bullet"/>
    <w:basedOn w:val="P1"/>
    <w:next w:val="P1"/>
    <w:pPr/>
    <w:rPr/>
  </w:style>
  <w:style w:type="paragraph" w:styleId="P26">
    <w:name w:val="CSA"/>
    <w:basedOn w:val="P1"/>
    <w:next w:val="P34"/>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0"/>
    <w:pPr>
      <w:tabs>
        <w:tab w:val="right" w:pos="8640" w:leader="dot"/>
      </w:tabs>
      <w:spacing w:after="0"/>
    </w:pPr>
    <w:rPr>
      <w:b w:val="1"/>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8"/>
    <w:qFormat/>
    <w:pPr>
      <w:numPr>
        <w:numId w:val="30"/>
      </w:numPr>
      <w:spacing w:before="160"/>
      <w:outlineLvl w:val="0"/>
    </w:pPr>
    <w:rPr>
      <w:rFonts w:ascii="Calibri" w:hAnsi="Calibri"/>
      <w:caps w:val="1"/>
    </w:rPr>
  </w:style>
  <w:style w:type="paragraph" w:styleId="P35">
    <w:name w:val="Heading 2"/>
    <w:basedOn w:val="P23"/>
    <w:next w:val="P0"/>
    <w:link w:val="C9"/>
    <w:qFormat/>
    <w:pPr>
      <w:numPr>
        <w:ilvl w:val="1"/>
        <w:numId w:val="30"/>
      </w:numPr>
      <w:spacing w:before="80"/>
      <w:outlineLvl w:val="1"/>
    </w:pPr>
    <w:rPr>
      <w:rFonts w:ascii="Calibri" w:hAnsi="Calibri"/>
      <w:u w:val="single"/>
    </w:rPr>
  </w:style>
  <w:style w:type="paragraph" w:styleId="P36">
    <w:name w:val="Heading 3"/>
    <w:basedOn w:val="P23"/>
    <w:next w:val="P36"/>
    <w:link w:val="C7"/>
    <w:qFormat/>
    <w:pPr>
      <w:numPr>
        <w:ilvl w:val="2"/>
        <w:numId w:val="30"/>
      </w:numPr>
      <w:outlineLvl w:val="2"/>
    </w:pPr>
    <w:rPr/>
  </w:style>
  <w:style w:type="paragraph" w:styleId="P37">
    <w:name w:val="Heading 4"/>
    <w:basedOn w:val="P23"/>
    <w:next w:val="P37"/>
    <w:link w:val="C10"/>
    <w:qFormat/>
    <w:pPr>
      <w:numPr>
        <w:ilvl w:val="3"/>
        <w:numId w:val="30"/>
      </w:numPr>
      <w:outlineLvl w:val="3"/>
    </w:pPr>
    <w:rPr/>
  </w:style>
  <w:style w:type="paragraph" w:styleId="P38">
    <w:name w:val="Heading 7"/>
    <w:basedOn w:val="P23"/>
    <w:next w:val="P0"/>
    <w:link w:val="C13"/>
    <w:qFormat/>
    <w:pPr>
      <w:numPr>
        <w:ilvl w:val="6"/>
        <w:numId w:val="30"/>
      </w:numPr>
      <w:outlineLvl w:val="6"/>
    </w:pPr>
    <w:rPr/>
  </w:style>
  <w:style w:type="paragraph" w:styleId="P39">
    <w:name w:val="List Bullet"/>
    <w:basedOn w:val="P25"/>
    <w:next w:val="P39"/>
    <w:pPr>
      <w:numPr>
        <w:numId w:val="2"/>
      </w:numPr>
    </w:pPr>
    <w:rPr/>
  </w:style>
  <w:style w:type="paragraph" w:styleId="P40">
    <w:name w:val="TOC 2"/>
    <w:basedOn w:val="P30"/>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30"/>
      </w:numPr>
      <w:outlineLvl w:val="4"/>
    </w:pPr>
    <w:rPr/>
  </w:style>
  <w:style w:type="paragraph" w:styleId="P45">
    <w:name w:val="Heading 8"/>
    <w:basedOn w:val="P38"/>
    <w:next w:val="P0"/>
    <w:link w:val="C14"/>
    <w:qFormat/>
    <w:pPr>
      <w:numPr>
        <w:ilvl w:val="7"/>
        <w:numId w:val="30"/>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30"/>
      </w:numPr>
      <w:outlineLvl w:val="5"/>
    </w:pPr>
    <w:rPr/>
  </w:style>
  <w:style w:type="paragraph" w:styleId="P49">
    <w:name w:val="Heading 9"/>
    <w:basedOn w:val="P45"/>
    <w:next w:val="P0"/>
    <w:link w:val="C15"/>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2016-11-29T18:32:00Z</dcterms:created>
  <cp:lastModifiedBy>Ray</cp:lastModifiedBy>
  <cp:lastPrinted>2006-08-29T20:52:00Z</cp:lastPrinted>
  <dcterms:modified xsi:type="dcterms:W3CDTF">2022-10-04T19:38:51Z</dcterms:modified>
  <cp:revision>5</cp:revision>
  <dc:title>07840_Firestopping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