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F5F21AA" Type="http://schemas.openxmlformats.org/officeDocument/2006/relationships/officeDocument" Target="word/document.xml"/><Relationship Id="coreR7F5F21AA" Type="http://schemas.openxmlformats.org/package/2006/relationships/metadata/core-properties" Target="docProps/core.xml"/><Relationship Id="customR7F5F21AA"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Addition of References and Replacement Parts section on this page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Reformatted to Reduce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30,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Phase 1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December 14,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#6324302 v3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8</w:t>
            </w:r>
          </w:p>
        </w:tc>
        <w:tc>
          <w:tcPr>
            <w:tcW w:w="2340" w:type="dxa"/>
            <w:tcBorders>
              <w:top w:val="single" w:sz="6" w:space="0" w:shadow="0" w:frame="0"/>
              <w:left w:val="single" w:sz="6" w:space="0" w:shadow="0" w:frame="0"/>
              <w:bottom w:val="doub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double" w:sz="6" w:space="0" w:shadow="0" w:frame="0"/>
              <w:right w:val="double" w:sz="6" w:space="0" w:shadow="0" w:frame="0"/>
            </w:tcBorders>
          </w:tcPr>
          <w:p>
            <w:r>
              <w:t>Removed all named products and replaced them with performance specifications and standards. (CPD)</w:t>
            </w:r>
          </w:p>
          <w:p>
            <w:r>
              <w:t xml:space="preserve">Updated Reference Standard </w:t>
            </w:r>
            <w:r>
              <w:rPr>
                <w:sz w:val="18"/>
              </w:rPr>
              <w:t>ASTM C423-17</w:t>
            </w:r>
            <w:r>
              <w:t xml:space="preserve"> (AAM)</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hanging="709" w:left="1418"/>
      </w:pPr>
    </w:p>
    <w:p>
      <w:pPr>
        <w:pStyle w:val="P36"/>
        <w:numPr>
          <w:ilvl w:val="2"/>
          <w:numId w:val="0"/>
        </w:numPr>
        <w:tabs>
          <w:tab w:val="left" w:pos="1418" w:leader="none"/>
        </w:tabs>
        <w:ind w:hanging="709" w:left="1418"/>
        <w:rPr>
          <w:i w:val="1"/>
        </w:rPr>
      </w:pPr>
      <w:r>
        <w:rPr>
          <w:i w:val="1"/>
          <w:highlight w:val="yellow"/>
        </w:rPr>
        <w:t>[List Sections specifying related requirements.]</w:t>
      </w:r>
    </w:p>
    <w:p>
      <w:pPr>
        <w:pStyle w:val="P36"/>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5"/>
      </w:pPr>
      <w:bookmarkStart w:id="0" w:name="_Toc98743455"/>
      <w:bookmarkStart w:id="1" w:name="_Toc130184234"/>
      <w:r>
        <w:t>References</w:t>
      </w:r>
    </w:p>
    <w:p>
      <w:pPr>
        <w:pStyle w:val="P1"/>
        <w:ind w:hanging="2891" w:left="3600"/>
        <w:rPr>
          <w:rFonts w:ascii="Calibri" w:hAnsi="Calibri"/>
          <w:i w:val="1"/>
        </w:rPr>
      </w:pPr>
      <w:bookmarkEnd w:id="0"/>
      <w:bookmarkEnd w:id="1"/>
      <w:r>
        <w:rPr>
          <w:rFonts w:ascii="Calibri" w:hAnsi="Calibri"/>
          <w:i w:val="1"/>
          <w:highlight w:val="yellow"/>
        </w:rPr>
        <w:t>[Delete .1 if Section 01060 – Regulatory Requirements is included in Contract Documents.]</w:t>
      </w:r>
    </w:p>
    <w:p>
      <w:pPr>
        <w:pStyle w:val="P36"/>
        <w:tabs>
          <w:tab w:val="left" w:pos="1418" w:leader="none"/>
          <w:tab w:val="clear" w:pos="1440" w:leader="none"/>
        </w:tabs>
        <w:ind w:hanging="709" w:left="1418"/>
      </w:pPr>
      <w:r>
        <w:t>Comply with the latest edition of the following statutes, codes, standards, and all amendments thereto:</w:t>
      </w:r>
    </w:p>
    <w:p>
      <w:pPr>
        <w:pStyle w:val="P37"/>
      </w:pPr>
      <w:r>
        <w:t>American Society for Testing &amp; Materials (ASTM)</w:t>
      </w:r>
    </w:p>
    <w:p>
      <w:pPr>
        <w:pStyle w:val="P44"/>
      </w:pPr>
      <w:r>
        <w:t>ASTM C423-17, Standard Test Method for Sound Absorption and Sound Absorption Coefficients by the Reverberation Room Method.</w:t>
      </w:r>
    </w:p>
    <w:p>
      <w:pPr>
        <w:pStyle w:val="P44"/>
      </w:pPr>
      <w:r>
        <w:t>ASTM E84-16, Standard Test Method for Surface Burning Characteristics of Building Materials.</w:t>
      </w:r>
    </w:p>
    <w:p>
      <w:pPr>
        <w:pStyle w:val="P44"/>
      </w:pPr>
      <w:r>
        <w:t>ASTM E795-16, Standard Practices for Mounting Test Specimens during Sound Absorption Tests.</w:t>
      </w:r>
    </w:p>
    <w:p>
      <w:pPr>
        <w:pStyle w:val="P37"/>
        <w:rPr>
          <w:highlight w:val="yellow"/>
        </w:rPr>
      </w:pPr>
      <w:r>
        <w:t xml:space="preserve">General Services Administration (GSA) US </w:t>
      </w:r>
      <w:r>
        <w:rPr>
          <w:highlight w:val="yellow"/>
        </w:rPr>
        <w:t>[Consultant to determine if there is a Canadian equivalent]</w:t>
      </w:r>
    </w:p>
    <w:p>
      <w:pPr>
        <w:pStyle w:val="P44"/>
      </w:pPr>
      <w:r>
        <w:t>GSA: A-A-1922A (Formerly GSA: FF-S-325 Group II, Type 3, Class 3)</w:t>
      </w:r>
    </w:p>
    <w:p>
      <w:pPr>
        <w:pStyle w:val="P44"/>
        <w:numPr>
          <w:ilvl w:val="4"/>
          <w:numId w:val="0"/>
        </w:numPr>
        <w:ind w:left="2880"/>
      </w:pPr>
    </w:p>
    <w:p>
      <w:pPr>
        <w:pStyle w:val="P35"/>
      </w:pPr>
      <w:bookmarkStart w:id="2" w:name="_Toc98743456"/>
      <w:bookmarkStart w:id="3" w:name="_Toc130184235"/>
      <w:r>
        <w:t>Submittals</w:t>
      </w:r>
    </w:p>
    <w:p>
      <w:pPr>
        <w:pStyle w:val="P36"/>
        <w:tabs>
          <w:tab w:val="left" w:pos="1418" w:leader="none"/>
          <w:tab w:val="clear" w:pos="1440" w:leader="none"/>
        </w:tabs>
        <w:ind w:hanging="709" w:left="1418"/>
      </w:pPr>
      <w:bookmarkEnd w:id="2"/>
      <w:bookmarkEnd w:id="3"/>
      <w:r>
        <w:t>Shop drawings: Submit shop drawings indicating panel layout and locations of fastenings.</w:t>
      </w:r>
    </w:p>
    <w:p>
      <w:pPr>
        <w:pStyle w:val="P36"/>
        <w:tabs>
          <w:tab w:val="left" w:pos="1418" w:leader="none"/>
          <w:tab w:val="clear" w:pos="1440" w:leader="none"/>
        </w:tabs>
        <w:ind w:hanging="709" w:left="1418"/>
      </w:pPr>
      <w:r>
        <w:t>Manufacturer's instructions: Submit manufacturer's printed instructions for panel installation and maintenance.</w:t>
      </w:r>
    </w:p>
    <w:p>
      <w:pPr>
        <w:pStyle w:val="P36"/>
        <w:tabs>
          <w:tab w:val="left" w:pos="1418" w:leader="none"/>
          <w:tab w:val="clear" w:pos="1440" w:leader="none"/>
        </w:tabs>
        <w:ind w:hanging="709" w:left="1418"/>
      </w:pPr>
      <w:r>
        <w:t>Submit coordination drawings for ceiling supports.</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pStyle w:val="P1"/>
        <w:ind w:left="720"/>
        <w:rPr>
          <w:rFonts w:ascii="Calibri" w:hAnsi="Calibri"/>
        </w:rPr>
      </w:pPr>
      <w:r>
        <w:rPr>
          <w:rFonts w:ascii="Calibri" w:hAnsi="Calibri"/>
          <w:i w:val="1"/>
          <w:highlight w:val="yellow"/>
        </w:rPr>
        <w:t>If the work of this Section is to be measured and paid for by several different methods, please amend the standard wording given above to reflect the different methods of measurement and payment.</w:t>
      </w:r>
      <w:r>
        <w:rPr>
          <w:rFonts w:ascii="Calibri" w:hAnsi="Calibri"/>
          <w:highlight w:val="yellow"/>
        </w:rPr>
        <w:t>]</w:t>
      </w:r>
    </w:p>
    <w:p>
      <w:pPr>
        <w:pStyle w:val="P34"/>
      </w:pPr>
      <w:bookmarkStart w:id="4" w:name="_Toc98743457"/>
      <w:bookmarkStart w:id="5" w:name="_Toc130184236"/>
      <w:r>
        <w:t>PRODUCTS</w:t>
      </w:r>
      <w:bookmarkEnd w:id="4"/>
      <w:bookmarkEnd w:id="5"/>
    </w:p>
    <w:p>
      <w:pPr>
        <w:pStyle w:val="P35"/>
      </w:pPr>
      <w:bookmarkStart w:id="6" w:name="_Toc98743458"/>
      <w:bookmarkStart w:id="7" w:name="_Toc130184237"/>
      <w:r>
        <w:t>Materials</w:t>
      </w:r>
    </w:p>
    <w:p>
      <w:pPr>
        <w:pStyle w:val="P36"/>
        <w:tabs>
          <w:tab w:val="left" w:pos="1418" w:leader="none"/>
          <w:tab w:val="clear" w:pos="1440" w:leader="none"/>
        </w:tabs>
        <w:ind w:hanging="709" w:left="1418"/>
      </w:pPr>
      <w:bookmarkEnd w:id="6"/>
      <w:bookmarkEnd w:id="7"/>
      <w:r>
        <w:t xml:space="preserve">Acoustic panels, one-piece full height units: </w:t>
      </w:r>
    </w:p>
    <w:p>
      <w:pPr>
        <w:pStyle w:val="P37"/>
      </w:pPr>
      <w:r>
        <w:t xml:space="preserve">Sound Absorption:  Provide panels that are certified to meet the following minimum sound absorption for a 24 inch by 48 inch (610 by 1219 mm) panel when tested in accordance with ASTM C42317 and ASTM E795-16:</w:t>
      </w:r>
    </w:p>
    <w:p>
      <w:pPr>
        <w:pStyle w:val="P44"/>
      </w:pPr>
      <w:r>
        <w:t xml:space="preserve">125 Hz:  10.08 sabins.</w:t>
      </w:r>
    </w:p>
    <w:p>
      <w:pPr>
        <w:pStyle w:val="P44"/>
      </w:pPr>
      <w:r>
        <w:t xml:space="preserve">250 Hz:  7.92 sabins.</w:t>
      </w:r>
    </w:p>
    <w:p>
      <w:pPr>
        <w:pStyle w:val="P44"/>
      </w:pPr>
      <w:r>
        <w:t xml:space="preserve">500 Hz:  8.08 sabins.</w:t>
      </w:r>
    </w:p>
    <w:p>
      <w:pPr>
        <w:pStyle w:val="P44"/>
      </w:pPr>
      <w:r>
        <w:t xml:space="preserve">1000 Hz:  9.28 sabins.</w:t>
      </w:r>
    </w:p>
    <w:p>
      <w:pPr>
        <w:pStyle w:val="P44"/>
      </w:pPr>
      <w:r>
        <w:t xml:space="preserve">2000 Hz:  9.52 sabins.</w:t>
      </w:r>
    </w:p>
    <w:p>
      <w:pPr>
        <w:pStyle w:val="P44"/>
      </w:pPr>
      <w:r>
        <w:t xml:space="preserve">4000 Hz:  10.64 sabins.</w:t>
      </w:r>
    </w:p>
    <w:p>
      <w:pPr>
        <w:pStyle w:val="P44"/>
      </w:pPr>
      <w:r>
        <w:t xml:space="preserve">Noise Reduction Coefficient:  1.10, minimum.</w:t>
      </w:r>
    </w:p>
    <w:p>
      <w:pPr>
        <w:pStyle w:val="P37"/>
      </w:pPr>
      <w:r>
        <w:t xml:space="preserve">Fire:  Provide panels that demonstrate the following performance when tested in accordance with ASTM E84-16:</w:t>
      </w:r>
    </w:p>
    <w:p>
      <w:pPr>
        <w:pStyle w:val="P44"/>
      </w:pPr>
      <w:r>
        <w:t xml:space="preserve">Flame Spread:  10 maximum.</w:t>
      </w:r>
    </w:p>
    <w:p>
      <w:pPr>
        <w:pStyle w:val="P44"/>
      </w:pPr>
      <w:r>
        <w:t xml:space="preserve">Smoke Density:  10 maximum. </w:t>
      </w:r>
    </w:p>
    <w:p>
      <w:pPr>
        <w:pStyle w:val="P36"/>
        <w:tabs>
          <w:tab w:val="left" w:pos="1418" w:leader="none"/>
          <w:tab w:val="clear" w:pos="1440" w:leader="none"/>
        </w:tabs>
        <w:ind w:hanging="709" w:left="1418"/>
      </w:pPr>
      <w:r>
        <w:t>Panels sizes: 762 mm wide, 50 mm thick, V-ridged on 150 mm centres to depth 20 mm.</w:t>
      </w:r>
    </w:p>
    <w:p>
      <w:pPr>
        <w:pStyle w:val="P36"/>
        <w:tabs>
          <w:tab w:val="left" w:pos="1418" w:leader="none"/>
          <w:tab w:val="clear" w:pos="1440" w:leader="none"/>
        </w:tabs>
        <w:ind w:hanging="709" w:left="1418"/>
      </w:pPr>
      <w:r>
        <w:t>Facing: 0.85 mm zinc coated steel, perforated with 2.4 mm holes on 4.0 mm staggered centres.</w:t>
      </w:r>
    </w:p>
    <w:p>
      <w:pPr>
        <w:pStyle w:val="P36"/>
        <w:tabs>
          <w:tab w:val="left" w:pos="1418" w:leader="none"/>
          <w:tab w:val="clear" w:pos="1440" w:leader="none"/>
        </w:tabs>
        <w:ind w:hanging="709" w:left="1418"/>
      </w:pPr>
      <w:r>
        <w:t>Framing: Minimum two 1.0 mm galvanized steel transverse framing members with stainless steel inserts for attachment to mounting brackets.</w:t>
      </w:r>
    </w:p>
    <w:p>
      <w:pPr>
        <w:pStyle w:val="P36"/>
        <w:tabs>
          <w:tab w:val="left" w:pos="1418" w:leader="none"/>
          <w:tab w:val="clear" w:pos="1440" w:leader="none"/>
        </w:tabs>
        <w:ind w:hanging="709" w:left="1418"/>
      </w:pPr>
      <w:r>
        <w:t xml:space="preserve">Acoustic insulation: 50 mm thick fiberglass density 24 kg/m³, wrapped in 0.025 mm thick flame guard polyethylene and </w:t>
      </w:r>
      <w:r>
        <w:rPr>
          <w:highlight w:val="yellow"/>
        </w:rPr>
        <w:t>[Globeglas]</w:t>
      </w:r>
      <w:r>
        <w:t xml:space="preserve"> glass fibre mat sheeting on exterior side. Flammability test for polyethylene wrap and sheeting per </w:t>
      </w:r>
      <w:r>
        <w:rPr>
          <w:i w:val="1"/>
          <w:highlight w:val="yellow"/>
        </w:rPr>
        <w:t>[Consultant to obtain replacement standard in place of withdrawn ASTM D568-77(1985)]</w:t>
      </w:r>
      <w:r>
        <w:t>: Self-extinguishing in 3-5 sec.</w:t>
      </w:r>
    </w:p>
    <w:p>
      <w:pPr>
        <w:pStyle w:val="P36"/>
        <w:keepNext w:val="1"/>
        <w:keepLines w:val="1"/>
        <w:tabs>
          <w:tab w:val="left" w:pos="1418" w:leader="none"/>
          <w:tab w:val="clear" w:pos="1440" w:leader="none"/>
        </w:tabs>
        <w:spacing w:after="80"/>
        <w:ind w:hanging="709" w:left="1418"/>
      </w:pPr>
      <w:r>
        <w:t>Sound absorption characteristics in sabins, tested in accordance with ASTM-C423-09a:</w:t>
      </w:r>
    </w:p>
    <w:tbl>
      <w:tblPr>
        <w:tblStyle w:val="T2"/>
        <w:tblW w:w="0" w:type="auto"/>
        <w:tblInd w:w="2380" w:type="dxa"/>
        <w:tblLayout w:type="fixed"/>
        <w:tblCellMar>
          <w:top w:w="0" w:type="dxa"/>
          <w:bottom w:w="0" w:type="dxa"/>
        </w:tblCellMar>
      </w:tblPr>
      <w:tblGrid/>
      <w:tr>
        <w:trPr>
          <w:wAfter w:w="0" w:type="dxa"/>
        </w:trPr>
        <w:tc>
          <w:tcPr>
            <w:tcW w:w="1152" w:type="dxa"/>
            <w:vAlign w:val="center"/>
          </w:tcPr>
          <w:p>
            <w:pPr>
              <w:keepNext w:val="1"/>
              <w:keepLines w:val="1"/>
              <w:ind w:hanging="202"/>
              <w:jc w:val="center"/>
            </w:pPr>
            <w:r>
              <w:t>125</w:t>
            </w:r>
          </w:p>
        </w:tc>
        <w:tc>
          <w:tcPr>
            <w:tcW w:w="864" w:type="dxa"/>
            <w:vAlign w:val="center"/>
          </w:tcPr>
          <w:p>
            <w:pPr>
              <w:keepNext w:val="1"/>
              <w:keepLines w:val="1"/>
              <w:ind w:hanging="198"/>
              <w:jc w:val="center"/>
            </w:pPr>
            <w:r>
              <w:t>250</w:t>
            </w:r>
          </w:p>
        </w:tc>
        <w:tc>
          <w:tcPr>
            <w:tcW w:w="864" w:type="dxa"/>
            <w:vAlign w:val="center"/>
          </w:tcPr>
          <w:p>
            <w:pPr>
              <w:keepNext w:val="1"/>
              <w:keepLines w:val="1"/>
              <w:ind w:hanging="198"/>
              <w:jc w:val="center"/>
            </w:pPr>
            <w:r>
              <w:t>500</w:t>
            </w:r>
          </w:p>
        </w:tc>
        <w:tc>
          <w:tcPr>
            <w:tcW w:w="864" w:type="dxa"/>
            <w:vAlign w:val="center"/>
          </w:tcPr>
          <w:p>
            <w:pPr>
              <w:keepNext w:val="1"/>
              <w:keepLines w:val="1"/>
              <w:ind w:hanging="198"/>
              <w:jc w:val="center"/>
            </w:pPr>
            <w:r>
              <w:t>1000</w:t>
            </w:r>
          </w:p>
        </w:tc>
        <w:tc>
          <w:tcPr>
            <w:tcW w:w="864" w:type="dxa"/>
            <w:vAlign w:val="center"/>
          </w:tcPr>
          <w:p>
            <w:pPr>
              <w:keepNext w:val="1"/>
              <w:keepLines w:val="1"/>
              <w:ind w:hanging="198"/>
              <w:jc w:val="center"/>
            </w:pPr>
            <w:r>
              <w:t>2000</w:t>
            </w:r>
          </w:p>
        </w:tc>
        <w:tc>
          <w:tcPr>
            <w:tcW w:w="864" w:type="dxa"/>
            <w:vAlign w:val="center"/>
          </w:tcPr>
          <w:p>
            <w:pPr>
              <w:keepNext w:val="1"/>
              <w:keepLines w:val="1"/>
              <w:ind w:hanging="198"/>
              <w:jc w:val="center"/>
            </w:pPr>
            <w:r>
              <w:t>4000</w:t>
            </w:r>
          </w:p>
        </w:tc>
        <w:tc>
          <w:tcPr>
            <w:tcW w:w="864" w:type="dxa"/>
            <w:vAlign w:val="center"/>
          </w:tcPr>
          <w:p>
            <w:pPr>
              <w:keepNext w:val="1"/>
              <w:keepLines w:val="1"/>
              <w:ind w:hanging="198"/>
              <w:jc w:val="center"/>
            </w:pPr>
            <w:r>
              <w:t>Hz</w:t>
            </w:r>
          </w:p>
        </w:tc>
      </w:tr>
      <w:tr>
        <w:trPr>
          <w:wAfter w:w="0" w:type="dxa"/>
        </w:trPr>
        <w:tc>
          <w:tcPr>
            <w:tcW w:w="1152" w:type="dxa"/>
            <w:vAlign w:val="center"/>
          </w:tcPr>
          <w:p>
            <w:pPr>
              <w:keepNext w:val="1"/>
              <w:keepLines w:val="1"/>
              <w:ind w:hanging="198"/>
              <w:jc w:val="center"/>
            </w:pPr>
            <w:r>
              <w:t>7.8</w:t>
            </w:r>
          </w:p>
        </w:tc>
        <w:tc>
          <w:tcPr>
            <w:tcW w:w="864" w:type="dxa"/>
            <w:vAlign w:val="center"/>
          </w:tcPr>
          <w:p>
            <w:pPr>
              <w:keepNext w:val="1"/>
              <w:keepLines w:val="1"/>
              <w:ind w:hanging="198"/>
              <w:jc w:val="center"/>
            </w:pPr>
            <w:r>
              <w:t>20.5</w:t>
            </w:r>
          </w:p>
        </w:tc>
        <w:tc>
          <w:tcPr>
            <w:tcW w:w="864" w:type="dxa"/>
            <w:vAlign w:val="center"/>
          </w:tcPr>
          <w:p>
            <w:pPr>
              <w:keepNext w:val="1"/>
              <w:keepLines w:val="1"/>
              <w:ind w:hanging="198"/>
              <w:jc w:val="center"/>
            </w:pPr>
            <w:r>
              <w:t>35.2</w:t>
            </w:r>
          </w:p>
        </w:tc>
        <w:tc>
          <w:tcPr>
            <w:tcW w:w="864" w:type="dxa"/>
            <w:vAlign w:val="center"/>
          </w:tcPr>
          <w:p>
            <w:pPr>
              <w:keepNext w:val="1"/>
              <w:keepLines w:val="1"/>
              <w:ind w:hanging="198"/>
              <w:jc w:val="center"/>
            </w:pPr>
            <w:r>
              <w:t>34.5</w:t>
            </w:r>
          </w:p>
        </w:tc>
        <w:tc>
          <w:tcPr>
            <w:tcW w:w="864" w:type="dxa"/>
            <w:vAlign w:val="center"/>
          </w:tcPr>
          <w:p>
            <w:pPr>
              <w:keepNext w:val="1"/>
              <w:keepLines w:val="1"/>
              <w:ind w:hanging="198"/>
              <w:jc w:val="center"/>
            </w:pPr>
            <w:r>
              <w:t>31.5</w:t>
            </w:r>
          </w:p>
        </w:tc>
        <w:tc>
          <w:tcPr>
            <w:tcW w:w="864" w:type="dxa"/>
            <w:vAlign w:val="center"/>
          </w:tcPr>
          <w:p>
            <w:pPr>
              <w:keepNext w:val="1"/>
              <w:keepLines w:val="1"/>
              <w:ind w:hanging="198"/>
              <w:jc w:val="center"/>
            </w:pPr>
            <w:r>
              <w:t>33.1</w:t>
            </w:r>
          </w:p>
        </w:tc>
        <w:tc>
          <w:tcPr>
            <w:tcW w:w="864" w:type="dxa"/>
            <w:vAlign w:val="center"/>
          </w:tcPr>
          <w:p>
            <w:pPr>
              <w:keepNext w:val="1"/>
              <w:keepLines w:val="1"/>
              <w:ind w:hanging="198"/>
              <w:jc w:val="center"/>
            </w:pPr>
            <w:r>
              <w:t>sabins</w:t>
            </w:r>
          </w:p>
        </w:tc>
      </w:tr>
    </w:tbl>
    <w:p>
      <w:pPr>
        <w:pStyle w:val="P36"/>
        <w:tabs>
          <w:tab w:val="left" w:pos="1418" w:leader="none"/>
          <w:tab w:val="clear" w:pos="1440" w:leader="none"/>
        </w:tabs>
        <w:spacing w:before="240"/>
        <w:ind w:hanging="709" w:left="1418"/>
      </w:pPr>
      <w:r>
        <w:t xml:space="preserve">Finish: 38 micron DFT primer, 50 micron DFT baked-on, polyurethane enamel applied in factory, colour </w:t>
      </w:r>
      <w:r>
        <w:rPr>
          <w:highlight w:val="yellow"/>
        </w:rPr>
        <w:t>[       ]</w:t>
      </w:r>
      <w:r>
        <w:t>. Finish panel end closures to match panel face finish.</w:t>
      </w:r>
    </w:p>
    <w:p>
      <w:pPr>
        <w:pStyle w:val="P36"/>
        <w:tabs>
          <w:tab w:val="left" w:pos="1418" w:leader="none"/>
          <w:tab w:val="clear" w:pos="1440" w:leader="none"/>
        </w:tabs>
        <w:ind w:hanging="709" w:left="1418"/>
      </w:pPr>
      <w:r>
        <w:t>Mounting: Four 3 mm thick galvanized steel, support brackets minimum per panel supplied by manufacturer. For lengths over 2,400 mm add two support brackets per each additional 1,200 mm length galvanized steel fasteners.</w:t>
      </w:r>
    </w:p>
    <w:p>
      <w:pPr>
        <w:pStyle w:val="P36"/>
        <w:tabs>
          <w:tab w:val="left" w:pos="1418" w:leader="none"/>
          <w:tab w:val="clear" w:pos="1440" w:leader="none"/>
        </w:tabs>
        <w:ind w:hanging="709" w:left="1418"/>
      </w:pPr>
      <w:r>
        <w:t>Ceiling suspension: galvanized steel channels 38 mm cold rolled steel, 0.70 kg/m.</w:t>
      </w:r>
    </w:p>
    <w:p>
      <w:pPr>
        <w:pStyle w:val="P36"/>
        <w:tabs>
          <w:tab w:val="left" w:pos="1418" w:leader="none"/>
          <w:tab w:val="clear" w:pos="1440" w:leader="none"/>
        </w:tabs>
        <w:ind w:hanging="709" w:left="1418"/>
      </w:pPr>
      <w:r>
        <w:t xml:space="preserve">Ceiling anchors: </w:t>
      </w:r>
    </w:p>
    <w:p>
      <w:pPr>
        <w:pStyle w:val="P37"/>
      </w:pPr>
      <w:r>
        <w:t xml:space="preserve">Ultimate Tension in 4,000 PSI Concrete: </w:t>
      </w:r>
      <w:r>
        <w:rPr>
          <w:highlight w:val="yellow"/>
        </w:rPr>
        <w:t>[2600 Lb.]</w:t>
      </w:r>
    </w:p>
    <w:p>
      <w:pPr>
        <w:pStyle w:val="P37"/>
      </w:pPr>
      <w:r>
        <w:t xml:space="preserve">Ultimate Shear in 4,000 PSI Concrete: </w:t>
      </w:r>
      <w:r>
        <w:rPr>
          <w:highlight w:val="yellow"/>
        </w:rPr>
        <w:t>[2400 Lb.]</w:t>
      </w:r>
    </w:p>
    <w:p>
      <w:pPr>
        <w:pStyle w:val="P37"/>
      </w:pPr>
      <w:r>
        <w:t xml:space="preserve">Meets/exceeds: GSA: A-A-1922A (Formerly GSA: FF-S-325 Group II, Type 3, Class 3); </w:t>
      </w:r>
    </w:p>
    <w:p>
      <w:pPr>
        <w:pStyle w:val="P36"/>
        <w:tabs>
          <w:tab w:val="left" w:pos="1418" w:leader="none"/>
          <w:tab w:val="clear" w:pos="1440" w:leader="none"/>
        </w:tabs>
        <w:ind w:hanging="709" w:left="1418"/>
      </w:pPr>
      <w:r>
        <w:t>Hangers: 7.9 mm dia. minimum galvanized mild steel.</w:t>
      </w:r>
    </w:p>
    <w:p>
      <w:pPr>
        <w:pStyle w:val="P34"/>
      </w:pPr>
      <w:bookmarkStart w:id="8" w:name="_Toc98743459"/>
      <w:bookmarkStart w:id="9" w:name="_Toc130184238"/>
      <w:r>
        <w:t>EXECUTION</w:t>
      </w:r>
      <w:bookmarkEnd w:id="8"/>
      <w:bookmarkEnd w:id="9"/>
    </w:p>
    <w:p>
      <w:pPr>
        <w:pStyle w:val="P35"/>
      </w:pPr>
      <w:bookmarkStart w:id="10" w:name="_Toc98743460"/>
      <w:bookmarkStart w:id="11" w:name="_Toc130184239"/>
      <w:r>
        <w:t>Examination</w:t>
      </w:r>
    </w:p>
    <w:p>
      <w:pPr>
        <w:pStyle w:val="P36"/>
        <w:tabs>
          <w:tab w:val="left" w:pos="1418" w:leader="none"/>
          <w:tab w:val="clear" w:pos="1440" w:leader="none"/>
        </w:tabs>
        <w:ind w:hanging="709" w:left="1418"/>
      </w:pPr>
      <w:bookmarkEnd w:id="10"/>
      <w:bookmarkEnd w:id="11"/>
      <w:r>
        <w:t>Examine surfaces to receive acoustic panels and report conditions which would adversely affect installation.</w:t>
      </w:r>
    </w:p>
    <w:p>
      <w:pPr>
        <w:pStyle w:val="P36"/>
        <w:tabs>
          <w:tab w:val="left" w:pos="1418" w:leader="none"/>
          <w:tab w:val="clear" w:pos="1440" w:leader="none"/>
        </w:tabs>
        <w:ind w:hanging="709" w:left="1418"/>
      </w:pPr>
      <w:r>
        <w:t>Do not commence installation until unsatisfactory conditions have been corrected.</w:t>
      </w:r>
    </w:p>
    <w:p>
      <w:pPr>
        <w:pStyle w:val="P35"/>
      </w:pPr>
      <w:bookmarkStart w:id="12" w:name="_Toc98743461"/>
      <w:bookmarkStart w:id="13" w:name="_Toc130184240"/>
      <w:r>
        <w:t>Installation</w:t>
      </w:r>
    </w:p>
    <w:p>
      <w:pPr>
        <w:pStyle w:val="P36"/>
        <w:tabs>
          <w:tab w:val="left" w:pos="1418" w:leader="none"/>
          <w:tab w:val="clear" w:pos="1440" w:leader="none"/>
        </w:tabs>
        <w:ind w:hanging="709" w:left="1418"/>
      </w:pPr>
      <w:bookmarkEnd w:id="12"/>
      <w:bookmarkEnd w:id="13"/>
      <w:r>
        <w:t>Install panels in accordance with the manufacturer's printed instructions.</w:t>
      </w:r>
    </w:p>
    <w:p>
      <w:pPr>
        <w:pStyle w:val="P36"/>
        <w:tabs>
          <w:tab w:val="left" w:pos="1418" w:leader="none"/>
          <w:tab w:val="clear" w:pos="1440" w:leader="none"/>
        </w:tabs>
        <w:ind w:hanging="709" w:left="1418"/>
      </w:pPr>
      <w:r>
        <w:t>Lay out panels according to reviewed layout.</w:t>
      </w:r>
    </w:p>
    <w:p>
      <w:pPr>
        <w:pStyle w:val="P36"/>
        <w:tabs>
          <w:tab w:val="left" w:pos="1418" w:leader="none"/>
          <w:tab w:val="clear" w:pos="1440" w:leader="none"/>
        </w:tabs>
        <w:ind w:hanging="709" w:left="1418"/>
      </w:pPr>
      <w:r>
        <w:t>Replace defective panels.</w:t>
      </w:r>
    </w:p>
    <w:p>
      <w:pPr>
        <w:pStyle w:val="P36"/>
        <w:tabs>
          <w:tab w:val="left" w:pos="1418" w:leader="none"/>
          <w:tab w:val="clear" w:pos="1440" w:leader="none"/>
        </w:tabs>
        <w:ind w:hanging="709" w:left="1418"/>
      </w:pPr>
      <w:r>
        <w:t>Align facing surfaces of panels uniformly true, plumb and straight to line.</w:t>
      </w:r>
    </w:p>
    <w:p>
      <w:pPr>
        <w:pStyle w:val="P35"/>
      </w:pPr>
      <w:bookmarkStart w:id="14" w:name="_Toc98743462"/>
      <w:bookmarkStart w:id="15" w:name="_Toc130184241"/>
      <w:r>
        <w:t>Ceiling Installation</w:t>
      </w:r>
    </w:p>
    <w:p>
      <w:pPr>
        <w:pStyle w:val="P36"/>
        <w:tabs>
          <w:tab w:val="left" w:pos="1418" w:leader="none"/>
          <w:tab w:val="clear" w:pos="1440" w:leader="none"/>
        </w:tabs>
        <w:ind w:hanging="709" w:left="1418"/>
      </w:pPr>
      <w:bookmarkEnd w:id="14"/>
      <w:bookmarkEnd w:id="15"/>
      <w:r>
        <w:t>Drill in anchors at 1,200 mm o.c. both directions.</w:t>
      </w:r>
    </w:p>
    <w:p>
      <w:pPr>
        <w:pStyle w:val="P36"/>
        <w:keepNext w:val="1"/>
        <w:keepLines w:val="1"/>
        <w:tabs>
          <w:tab w:val="left" w:pos="1418" w:leader="none"/>
          <w:tab w:val="clear" w:pos="1440" w:leader="none"/>
        </w:tabs>
        <w:ind w:hanging="709" w:left="1418"/>
      </w:pPr>
      <w:r>
        <w:t>Coordinate ceiling supports with pipes, ducts and other ceiling hung items. Install ceiling panels to a tolerance of 1:1,000.</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09522</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ACOUSTICAL TREATMENT (METAL)</w:t>
    </w:r>
    <w:r>
      <w:rPr>
        <w:rFonts w:ascii="Arial" w:hAnsi="Arial"/>
      </w:rPr>
      <w:tab/>
      <w:t>2012-07-09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09522</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ACOUSTICAL TREATMENT (METAL)</w:t>
    </w:r>
    <w:r>
      <w:rPr>
        <w:rFonts w:ascii="Calibri (Body)" w:hAnsi="Calibri (Body)"/>
        <w:sz w:val="22"/>
      </w:rPr>
      <w:tab/>
      <w:t>2017-01-30</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09522</w:t>
      <w:tab/>
      <w:t>CONTRACT NO. SSTR4559</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sz w:val="22"/>
      </w:rPr>
      <w:t>2017-01-30</w:t>
    </w:r>
    <w:r>
      <w:rPr>
        <w:rFonts w:ascii="Calibri (Body)" w:hAnsi="Calibri (Body)"/>
        <w:b w:val="1"/>
        <w:sz w:val="22"/>
      </w:rPr>
      <w:tab/>
      <w:t>ACOUSTICAL TREATMENT (METAL)</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080" w:leader="none"/>
      </w:tabs>
    </w:pPr>
  </w:p>
</w:hdr>
</file>

<file path=word/numbering.xml><?xml version="1.0" encoding="utf-8"?>
<w:numbering xmlns:w="http://schemas.openxmlformats.org/wordprocessingml/2006/main">
  <w:abstractNum w:abstractNumId="0">
    <w:nsid w:val="FFFFFF89"/>
    <w:multiLevelType w:val="hybridMultilevel"/>
    <w:lvl w:ilvl="0" w:tplc="76E3BB7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720" w:left="2160"/>
        <w:tabs>
          <w:tab w:val="left" w:pos="1440" w:leader="none"/>
        </w:tabs>
      </w:pPr>
      <w:rPr/>
    </w:lvl>
    <w:lvl w:ilvl="2">
      <w:start w:val="1"/>
      <w:numFmt w:val="decimal"/>
      <w:suff w:val="tab"/>
      <w:lvlText w:val=".%3"/>
      <w:lvlJc w:val="left"/>
      <w:pPr>
        <w:ind w:hanging="720" w:left="4320"/>
        <w:tabs>
          <w:tab w:val="left" w:pos="720" w:leader="none"/>
        </w:tabs>
      </w:pPr>
      <w:rPr>
        <w:rFonts w:ascii="Calibri" w:hAnsi="Calibri"/>
        <w:color w:val="000000"/>
        <w:sz w:val="22"/>
      </w:rPr>
    </w:lvl>
    <w:lvl w:ilvl="3">
      <w:start w:val="1"/>
      <w:numFmt w:val="decimal"/>
      <w:suff w:val="tab"/>
      <w:lvlText w:val=".%4"/>
      <w:lvlJc w:val="left"/>
      <w:pPr>
        <w:ind w:hanging="720" w:left="5040"/>
        <w:tabs>
          <w:tab w:val="left" w:pos="864" w:leader="none"/>
        </w:tabs>
      </w:pPr>
      <w:rPr>
        <w:rFonts w:ascii="Calibri" w:hAnsi="Calibri"/>
        <w:b w:val="0"/>
        <w:i w:val="0"/>
        <w:sz w:val="22"/>
      </w:rPr>
    </w:lvl>
    <w:lvl w:ilvl="4">
      <w:start w:val="1"/>
      <w:numFmt w:val="decimal"/>
      <w:suff w:val="tab"/>
      <w:lvlText w:val="%5."/>
      <w:lvlJc w:val="left"/>
      <w:pPr>
        <w:ind w:hanging="720" w:left="5760"/>
        <w:tabs>
          <w:tab w:val="left" w:pos="720" w:leader="none"/>
        </w:tabs>
      </w:pPr>
      <w:rPr>
        <w:rFonts w:ascii="Calibri" w:hAnsi="Calibri"/>
        <w:b w:val="0"/>
        <w:i w:val="0"/>
        <w:sz w:val="22"/>
      </w:rPr>
    </w:lvl>
    <w:lvl w:ilvl="5">
      <w:start w:val="1"/>
      <w:numFmt w:val="decimal"/>
      <w:suff w:val="tab"/>
      <w:lvlText w:val=".%6"/>
      <w:lvlJc w:val="left"/>
      <w:pPr>
        <w:ind w:hanging="720" w:left="6480"/>
        <w:tabs>
          <w:tab w:val="left" w:pos="6480" w:leader="none"/>
        </w:tabs>
      </w:pPr>
      <w:rPr>
        <w:rFonts w:ascii="Calibri" w:hAnsi="Calibri"/>
        <w:b w:val="0"/>
        <w:i w:val="0"/>
        <w:sz w:val="22"/>
      </w:rPr>
    </w:lvl>
    <w:lvl w:ilvl="6">
      <w:start w:val="1"/>
      <w:numFmt w:val="decimal"/>
      <w:suff w:val="tab"/>
      <w:lvlText w:val=".%7"/>
      <w:lvlJc w:val="left"/>
      <w:pPr>
        <w:ind w:hanging="720" w:left="7200"/>
        <w:tabs>
          <w:tab w:val="left" w:pos="6660" w:leader="none"/>
        </w:tabs>
      </w:pPr>
      <w:rPr>
        <w:rFonts w:ascii="Calibri" w:hAnsi="Calibri"/>
        <w:b w:val="0"/>
        <w:i w:val="0"/>
        <w:sz w:val="22"/>
      </w:rPr>
    </w:lvl>
    <w:lvl w:ilvl="7">
      <w:start w:val="1"/>
      <w:numFmt w:val="decimal"/>
      <w:suff w:val="tab"/>
      <w:lvlText w:val=".%8"/>
      <w:lvlJc w:val="left"/>
      <w:pPr>
        <w:ind w:hanging="720" w:left="7920"/>
        <w:tabs>
          <w:tab w:val="left" w:pos="7200" w:leader="none"/>
        </w:tabs>
      </w:pPr>
      <w:rPr>
        <w:rFonts w:ascii="Calibri" w:hAnsi="Calibri"/>
        <w:b w:val="0"/>
        <w:i w:val="0"/>
        <w:sz w:val="22"/>
      </w:rPr>
    </w:lvl>
    <w:lvl w:ilvl="8">
      <w:start w:val="1"/>
      <w:numFmt w:val="decimal"/>
      <w:suff w:val="tab"/>
      <w:lvlText w:val=".%9"/>
      <w:lvlJc w:val="left"/>
      <w:pPr>
        <w:ind w:hanging="720" w:left="8640"/>
        <w:tabs>
          <w:tab w:val="left" w:pos="7920" w:leader="none"/>
        </w:tabs>
      </w:pPr>
      <w:rPr>
        <w:rFonts w:ascii="Calibri" w:hAnsi="Calibri"/>
        <w:b w:val="0"/>
        <w:i w:val="0"/>
        <w:sz w:val="22"/>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C8B60EA"/>
    <w:multiLevelType w:val="hybridMultilevel"/>
    <w:lvl w:ilvl="0" w:tplc="3F902655">
      <w:start w:val="1"/>
      <w:numFmt w:val="bullet"/>
      <w:suff w:val="tab"/>
      <w:lvlText w:val=""/>
      <w:lvlJc w:val="left"/>
      <w:pPr>
        <w:ind w:hanging="360" w:left="720"/>
        <w:tabs>
          <w:tab w:val="left" w:pos="720" w:leader="none"/>
        </w:tabs>
      </w:pPr>
      <w:rPr>
        <w:rFonts w:ascii="Symbol" w:hAnsi="Symbol"/>
      </w:rPr>
    </w:lvl>
    <w:lvl w:ilvl="1" w:tplc="4867A04F">
      <w:start w:val="1"/>
      <w:numFmt w:val="bullet"/>
      <w:suff w:val="tab"/>
      <w:lvlText w:val="o"/>
      <w:lvlJc w:val="left"/>
      <w:pPr>
        <w:ind w:hanging="360" w:left="1440"/>
        <w:tabs>
          <w:tab w:val="left" w:pos="1440" w:leader="none"/>
        </w:tabs>
      </w:pPr>
      <w:rPr>
        <w:rFonts w:ascii="Courier New" w:hAnsi="Courier New"/>
      </w:rPr>
    </w:lvl>
    <w:lvl w:ilvl="2" w:tplc="18E519CA">
      <w:start w:val="1"/>
      <w:numFmt w:val="bullet"/>
      <w:suff w:val="tab"/>
      <w:lvlText w:val=""/>
      <w:lvlJc w:val="left"/>
      <w:pPr>
        <w:ind w:hanging="360" w:left="2160"/>
        <w:tabs>
          <w:tab w:val="left" w:pos="2160" w:leader="none"/>
        </w:tabs>
      </w:pPr>
      <w:rPr>
        <w:rFonts w:ascii="Wingdings" w:hAnsi="Wingdings"/>
      </w:rPr>
    </w:lvl>
    <w:lvl w:ilvl="3" w:tplc="1931E40C">
      <w:start w:val="1"/>
      <w:numFmt w:val="bullet"/>
      <w:suff w:val="tab"/>
      <w:lvlText w:val=""/>
      <w:lvlJc w:val="left"/>
      <w:pPr>
        <w:ind w:hanging="360" w:left="2880"/>
        <w:tabs>
          <w:tab w:val="left" w:pos="2880" w:leader="none"/>
        </w:tabs>
      </w:pPr>
      <w:rPr>
        <w:rFonts w:ascii="Symbol" w:hAnsi="Symbol"/>
      </w:rPr>
    </w:lvl>
    <w:lvl w:ilvl="4" w:tplc="1B99591A">
      <w:start w:val="1"/>
      <w:numFmt w:val="bullet"/>
      <w:suff w:val="tab"/>
      <w:lvlText w:val="o"/>
      <w:lvlJc w:val="left"/>
      <w:pPr>
        <w:ind w:hanging="360" w:left="3600"/>
        <w:tabs>
          <w:tab w:val="left" w:pos="3600" w:leader="none"/>
        </w:tabs>
      </w:pPr>
      <w:rPr>
        <w:rFonts w:ascii="Courier New" w:hAnsi="Courier New"/>
      </w:rPr>
    </w:lvl>
    <w:lvl w:ilvl="5" w:tplc="0F2F95AC">
      <w:start w:val="1"/>
      <w:numFmt w:val="bullet"/>
      <w:suff w:val="tab"/>
      <w:lvlText w:val=""/>
      <w:lvlJc w:val="left"/>
      <w:pPr>
        <w:ind w:hanging="360" w:left="4320"/>
        <w:tabs>
          <w:tab w:val="left" w:pos="4320" w:leader="none"/>
        </w:tabs>
      </w:pPr>
      <w:rPr>
        <w:rFonts w:ascii="Wingdings" w:hAnsi="Wingdings"/>
      </w:rPr>
    </w:lvl>
    <w:lvl w:ilvl="6" w:tplc="7906DEC0">
      <w:start w:val="1"/>
      <w:numFmt w:val="bullet"/>
      <w:suff w:val="tab"/>
      <w:lvlText w:val=""/>
      <w:lvlJc w:val="left"/>
      <w:pPr>
        <w:ind w:hanging="360" w:left="5040"/>
        <w:tabs>
          <w:tab w:val="left" w:pos="5040" w:leader="none"/>
        </w:tabs>
      </w:pPr>
      <w:rPr>
        <w:rFonts w:ascii="Symbol" w:hAnsi="Symbol"/>
      </w:rPr>
    </w:lvl>
    <w:lvl w:ilvl="7" w:tplc="0D23ECD0">
      <w:start w:val="1"/>
      <w:numFmt w:val="bullet"/>
      <w:suff w:val="tab"/>
      <w:lvlText w:val="o"/>
      <w:lvlJc w:val="left"/>
      <w:pPr>
        <w:ind w:hanging="360" w:left="5760"/>
        <w:tabs>
          <w:tab w:val="left" w:pos="5760" w:leader="none"/>
        </w:tabs>
      </w:pPr>
      <w:rPr>
        <w:rFonts w:ascii="Courier New" w:hAnsi="Courier New"/>
      </w:rPr>
    </w:lvl>
    <w:lvl w:ilvl="8" w:tplc="5CA97741">
      <w:start w:val="1"/>
      <w:numFmt w:val="bullet"/>
      <w:suff w:val="tab"/>
      <w:lvlText w:val=""/>
      <w:lvlJc w:val="left"/>
      <w:pPr>
        <w:ind w:hanging="360" w:left="6480"/>
        <w:tabs>
          <w:tab w:val="left" w:pos="6480" w:leader="none"/>
        </w:tabs>
      </w:pPr>
      <w:rPr>
        <w:rFonts w:ascii="Wingdings" w:hAnsi="Wingdings"/>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9"/>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alloon Text"/>
    <w:basedOn w:val="P0"/>
    <w:next w:val="P19"/>
    <w:pPr/>
    <w:rPr>
      <w:rFonts w:ascii="Tahoma" w:hAnsi="Tahoma"/>
      <w:sz w:val="16"/>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List Paragraph"/>
    <w:basedOn w:val="P0"/>
    <w:next w:val="P22"/>
    <w:qFormat/>
    <w:pPr>
      <w:ind w:left="720"/>
      <w:contextualSpacing w:val="1"/>
    </w:pPr>
    <w:rPr/>
  </w:style>
  <w:style w:type="paragraph" w:styleId="P23">
    <w:name w:val="Plain Text"/>
    <w:basedOn w:val="P0"/>
    <w:next w:val="P23"/>
    <w:link w:val="C22"/>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1"/>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10"/>
    <w:qFormat/>
    <w:pPr>
      <w:numPr>
        <w:numId w:val="29"/>
      </w:numPr>
      <w:spacing w:before="160"/>
      <w:contextualSpacing w:val="1"/>
      <w:outlineLvl w:val="0"/>
    </w:pPr>
    <w:rPr>
      <w:rFonts w:ascii="Calibri" w:hAnsi="Calibri"/>
      <w:caps w:val="1"/>
    </w:rPr>
  </w:style>
  <w:style w:type="paragraph" w:styleId="P35">
    <w:name w:val="Heading 2"/>
    <w:basedOn w:val="P22"/>
    <w:next w:val="P0"/>
    <w:link w:val="C11"/>
    <w:qFormat/>
    <w:pPr>
      <w:numPr>
        <w:ilvl w:val="1"/>
        <w:numId w:val="29"/>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9"/>
      </w:numPr>
      <w:contextualSpacing w:val="1"/>
      <w:outlineLvl w:val="2"/>
    </w:pPr>
    <w:rPr/>
  </w:style>
  <w:style w:type="paragraph" w:styleId="P37">
    <w:name w:val="Heading 4"/>
    <w:basedOn w:val="P22"/>
    <w:next w:val="P37"/>
    <w:link w:val="C12"/>
    <w:qFormat/>
    <w:pPr>
      <w:numPr>
        <w:ilvl w:val="3"/>
        <w:numId w:val="29"/>
      </w:numPr>
      <w:contextualSpacing w:val="1"/>
      <w:outlineLvl w:val="3"/>
    </w:pPr>
    <w:rPr/>
  </w:style>
  <w:style w:type="paragraph" w:styleId="P38">
    <w:name w:val="Heading 7"/>
    <w:basedOn w:val="P22"/>
    <w:next w:val="P0"/>
    <w:link w:val="C15"/>
    <w:qFormat/>
    <w:pPr>
      <w:numPr>
        <w:ilvl w:val="6"/>
        <w:numId w:val="29"/>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3"/>
    <w:qFormat/>
    <w:pPr>
      <w:numPr>
        <w:ilvl w:val="4"/>
        <w:numId w:val="29"/>
      </w:numPr>
      <w:outlineLvl w:val="4"/>
    </w:pPr>
    <w:rPr/>
  </w:style>
  <w:style w:type="paragraph" w:styleId="P45">
    <w:name w:val="Heading 8"/>
    <w:basedOn w:val="P38"/>
    <w:next w:val="P0"/>
    <w:link w:val="C16"/>
    <w:qFormat/>
    <w:pPr>
      <w:numPr>
        <w:ilvl w:val="7"/>
        <w:numId w:val="29"/>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4"/>
    <w:qFormat/>
    <w:pPr>
      <w:numPr>
        <w:ilvl w:val="5"/>
        <w:numId w:val="29"/>
      </w:numPr>
      <w:outlineLvl w:val="5"/>
    </w:pPr>
    <w:rPr/>
  </w:style>
  <w:style w:type="paragraph" w:styleId="P49">
    <w:name w:val="Heading 9"/>
    <w:basedOn w:val="P45"/>
    <w:next w:val="P0"/>
    <w:link w:val="C17"/>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Choice"/>
    <w:rPr>
      <w:rFonts w:ascii="Times" w:hAnsi="Times"/>
      <w:b w:val="1"/>
      <w:sz w:val="24"/>
    </w:rPr>
  </w:style>
  <w:style w:type="character" w:styleId="C9">
    <w:name w:val="Header Char"/>
    <w:link w:val="P7"/>
    <w:rPr>
      <w:rFonts w:ascii="Arial Narrow" w:hAnsi="Arial Narrow"/>
      <w:caps w:val="1"/>
      <w:sz w:val="14"/>
    </w:rPr>
  </w:style>
  <w:style w:type="character" w:styleId="C10">
    <w:name w:val="Heading 1 Char"/>
    <w:link w:val="P34"/>
    <w:rPr>
      <w:rFonts w:ascii="Calibri" w:hAnsi="Calibri"/>
      <w:caps w:val="1"/>
    </w:rPr>
  </w:style>
  <w:style w:type="character" w:styleId="C11">
    <w:name w:val="Heading 2 Char"/>
    <w:link w:val="P35"/>
    <w:rPr>
      <w:rFonts w:ascii="Calibri" w:hAnsi="Calibri"/>
      <w:u w:val="single"/>
    </w:rPr>
  </w:style>
  <w:style w:type="character" w:styleId="C12">
    <w:name w:val="Heading 4 Char"/>
    <w:link w:val="P37"/>
    <w:rPr/>
  </w:style>
  <w:style w:type="character" w:styleId="C13">
    <w:name w:val="Heading 5 Char"/>
    <w:link w:val="P44"/>
    <w:rPr/>
  </w:style>
  <w:style w:type="character" w:styleId="C14">
    <w:name w:val="Heading 6 Char"/>
    <w:link w:val="P48"/>
    <w:rPr/>
  </w:style>
  <w:style w:type="character" w:styleId="C15">
    <w:name w:val="Heading 7 Char"/>
    <w:link w:val="P38"/>
    <w:rPr/>
  </w:style>
  <w:style w:type="character" w:styleId="C16">
    <w:name w:val="Heading 8 Char"/>
    <w:link w:val="P45"/>
    <w:rPr/>
  </w:style>
  <w:style w:type="character" w:styleId="C17">
    <w:name w:val="Heading 9 Char"/>
    <w:link w:val="P49"/>
    <w:rPr/>
  </w:style>
  <w:style w:type="character" w:styleId="C18">
    <w:name w:val="Title Char"/>
    <w:link w:val="P10"/>
    <w:rPr>
      <w:rFonts w:ascii="Arial Narrow" w:hAnsi="Arial Narrow"/>
      <w:b w:val="1"/>
    </w:rPr>
  </w:style>
  <w:style w:type="character" w:styleId="C19">
    <w:name w:val="Strong"/>
    <w:qFormat/>
    <w:rPr>
      <w:b w:val="1"/>
    </w:rPr>
  </w:style>
  <w:style w:type="character" w:styleId="C20">
    <w:name w:val="Comment Text Char"/>
    <w:link w:val="P2"/>
    <w:rPr>
      <w:rFonts w:ascii="Arial" w:hAnsi="Arial"/>
    </w:rPr>
  </w:style>
  <w:style w:type="character" w:styleId="C21">
    <w:name w:val="Comment Subject Char"/>
    <w:link w:val="P30"/>
    <w:rPr>
      <w:rFonts w:ascii="Calibri" w:hAnsi="Calibri"/>
      <w:b w:val="1"/>
      <w:sz w:val="20"/>
    </w:rPr>
  </w:style>
  <w:style w:type="character" w:styleId="C22">
    <w:name w:val="Plain Text Char"/>
    <w:link w:val="P23"/>
    <w:rPr>
      <w:rFonts w:ascii="Courier New" w:hAnsi="Courier New"/>
      <w:sz w:val="20"/>
    </w:rPr>
  </w:style>
  <w:style w:type="character" w:styleId="C23">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2017-02-14T19:05:00Z</dcterms:created>
  <cp:lastModifiedBy>Ray</cp:lastModifiedBy>
  <cp:lastPrinted>2006-08-29T21:18:00Z</cp:lastPrinted>
  <dcterms:modified xsi:type="dcterms:W3CDTF">2022-10-04T19:38:52Z</dcterms:modified>
  <cp:revision>6</cp:revision>
  <dc:title>09522_Acoustical_Treatment_(Metal) (Dec 14,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2017-01-30T00:00:00Z</vt:lpwstr>
  </property>
  <property fmtid="{D5CDD505-2E9C-101B-9397-08002B2CF9AE}" pid="5" name="_dlc_DocId">
    <vt:lpwstr>ENVCPD-83-610</vt:lpwstr>
  </property>
  <property fmtid="{D5CDD505-2E9C-101B-9397-08002B2CF9AE}" pid="6" name="_dlc_DocIdItemGuid">
    <vt:lpwstr>5499a47b-c59c-4eb5-84c1-1ab887c7230a</vt:lpwstr>
  </property>
  <property fmtid="{D5CDD505-2E9C-101B-9397-08002B2CF9AE}" pid="7" name="_dlc_DocIdUrl">
    <vt:lpwstr>https://mycloud.york.ca/projects/EnvServProgramDeliveryOffice/ProjectServer/AEL/_layouts/DocIdRedir.aspx?ID=ENVCPD-83-610, ENVCPD-83-610</vt:lpwstr>
  </property>
</Properties>
</file>