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0B61A10" Type="http://schemas.openxmlformats.org/officeDocument/2006/relationships/officeDocument" Target="/word/document.xml" /><Relationship Id="coreR20B61A10" Type="http://schemas.openxmlformats.org/package/2006/relationships/metadata/core-properties" Target="/docProps/core.xml" /><Relationship Id="customR20B61A1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184" w:type="dxa"/>
            <w:tcBorders>
              <w:top w:val="doub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Version</w:t>
            </w:r>
          </w:p>
        </w:tc>
        <w:tc>
          <w:tcPr>
            <w:tcW w:w="2130" w:type="dxa"/>
            <w:tcBorders>
              <w:top w:val="doub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Description of Revisions</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1</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Approved final document</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2</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September 30,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Review/update of the document related sections</w:t>
            </w:r>
          </w:p>
        </w:tc>
      </w:tr>
      <w:tr>
        <w:trPr>
          <w:cantSplit/>
          <w:trHeight w:hRule="atLeast" w:val="65"/>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3</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September 28,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Minor revisions</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 xml:space="preserve">4 </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June 27,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bookmarkStart w:id="0" w:name="OLE_LINK1"/>
            <w:bookmarkStart w:id="1" w:name="OLE_LINK2"/>
            <w:r>
              <w:rPr>
                <w:rFonts w:ascii="Calibri" w:hAnsi="Calibri"/>
                <w:sz w:val="22"/>
              </w:rPr>
              <w:t>Addition of References and Replacement Parts sections on this page</w:t>
            </w:r>
            <w:bookmarkEnd w:id="0"/>
            <w:bookmarkEnd w:id="1"/>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5</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 xml:space="preserve">July 16, 2012 </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Reformatted to Reduce White Space</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6</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General formatting</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7</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April 7,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Phase 1 review (AV)</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8</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November 29,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Updated as per Legal (eDOCs # 6284813)</w:t>
            </w:r>
          </w:p>
        </w:tc>
      </w:tr>
      <w:tr>
        <w:trPr>
          <w:cantSplit/>
          <w:jc w:val="center"/>
        </w:trPr>
        <w:tc>
          <w:tcPr>
            <w:tcW w:w="1184" w:type="dxa"/>
            <w:tcBorders>
              <w:top w:val="single" w:sz="6" w:space="0" w:shadow="0" w:frame="0"/>
              <w:left w:val="double" w:sz="6" w:space="0" w:shadow="0" w:frame="0"/>
              <w:bottom w:val="double" w:sz="6" w:space="0" w:shadow="0" w:frame="0"/>
              <w:right w:val="single" w:sz="6" w:space="0" w:shadow="0" w:frame="0"/>
            </w:tcBorders>
          </w:tcPr>
          <w:p>
            <w:pPr>
              <w:pStyle w:val="P46"/>
              <w:rPr>
                <w:rFonts w:ascii="Calibri" w:hAnsi="Calibri"/>
                <w:sz w:val="22"/>
              </w:rPr>
            </w:pPr>
            <w:r>
              <w:rPr>
                <w:rFonts w:ascii="Calibri" w:hAnsi="Calibri"/>
                <w:sz w:val="22"/>
              </w:rPr>
              <w:t>9</w:t>
            </w:r>
          </w:p>
        </w:tc>
        <w:tc>
          <w:tcPr>
            <w:tcW w:w="2130" w:type="dxa"/>
            <w:tcBorders>
              <w:top w:val="single" w:sz="6" w:space="0" w:shadow="0" w:frame="0"/>
              <w:left w:val="single" w:sz="6" w:space="0" w:shadow="0" w:frame="0"/>
              <w:bottom w:val="double" w:sz="6" w:space="0" w:shadow="0" w:frame="0"/>
              <w:right w:val="single" w:sz="6" w:space="0" w:shadow="0" w:frame="0"/>
            </w:tcBorders>
          </w:tcPr>
          <w:p>
            <w:pPr>
              <w:pStyle w:val="P46"/>
              <w:rPr>
                <w:rFonts w:ascii="Calibri" w:hAnsi="Calibri"/>
                <w:sz w:val="22"/>
              </w:rPr>
            </w:pPr>
            <w:r>
              <w:rPr>
                <w:rFonts w:ascii="Calibri" w:hAnsi="Calibri"/>
                <w:sz w:val="22"/>
              </w:rPr>
              <w:t>June 22, 2022</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46"/>
              <w:rPr>
                <w:rFonts w:ascii="Calibri" w:hAnsi="Calibri"/>
                <w:sz w:val="22"/>
              </w:rPr>
            </w:pPr>
            <w:r>
              <w:rPr>
                <w:rFonts w:ascii="Calibri" w:hAnsi="Calibri"/>
                <w:sz w:val="22"/>
              </w:rPr>
              <w:t>3.1 Section revised (BM)</w:t>
            </w:r>
          </w:p>
        </w:tc>
      </w:tr>
    </w:tbl>
    <w:p/>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
      <w:pPr>
        <w:pStyle w:val="P10"/>
        <w:rPr>
          <w:rFonts w:ascii="Calibri" w:hAnsi="Calibri"/>
        </w:rPr>
      </w:pPr>
    </w:p>
    <w:p>
      <w:pPr>
        <w:pStyle w:val="P1"/>
        <w:tabs>
          <w:tab w:val="left" w:pos="1080" w:leader="none"/>
        </w:tabs>
        <w:ind w:hanging="1080" w:left="1080"/>
      </w:pPr>
      <w:r>
        <w:br w:type="page"/>
        <w:t>GENERAL</w:t>
      </w:r>
    </w:p>
    <w:p>
      <w:pPr>
        <w:pStyle w:val="P2"/>
      </w:pPr>
      <w:r>
        <w:t>Related Sections</w:t>
      </w:r>
    </w:p>
    <w:p>
      <w:pPr>
        <w:pStyle w:val="P3"/>
        <w:numPr>
          <w:ilvl w:val="2"/>
          <w:numId w:val="0"/>
        </w:numPr>
        <w:tabs>
          <w:tab w:val="left" w:pos="709" w:leader="none"/>
        </w:tabs>
        <w:ind w:firstLine="0"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tabs>
          <w:tab w:val="left" w:pos="709" w:leader="none"/>
        </w:tabs>
        <w:ind w:firstLine="0" w:left="709"/>
        <w:rPr>
          <w:i w:val="1"/>
          <w:highlight w:val="yellow"/>
        </w:rPr>
      </w:pPr>
    </w:p>
    <w:p>
      <w:pPr>
        <w:pStyle w:val="P3"/>
        <w:numPr>
          <w:ilvl w:val="2"/>
          <w:numId w:val="0"/>
        </w:numPr>
        <w:tabs>
          <w:tab w:val="left" w:pos="709" w:leader="none"/>
        </w:tabs>
        <w:ind w:firstLine="0"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tabs>
          <w:tab w:val="left" w:pos="709" w:leader="none"/>
        </w:tabs>
        <w:ind w:firstLine="0" w:left="709"/>
        <w:rPr>
          <w:i w:val="1"/>
          <w:highlight w:val="yellow"/>
        </w:rPr>
      </w:pPr>
    </w:p>
    <w:p>
      <w:pPr>
        <w:pStyle w:val="P3"/>
        <w:numPr>
          <w:ilvl w:val="2"/>
          <w:numId w:val="0"/>
        </w:numPr>
        <w:tabs>
          <w:tab w:val="left" w:pos="709" w:leader="none"/>
        </w:tabs>
        <w:ind w:firstLine="0" w:left="709"/>
        <w:rPr>
          <w:i w:val="1"/>
          <w:highlight w:val="yellow"/>
        </w:rPr>
      </w:pPr>
      <w:r>
        <w:rPr>
          <w:i w:val="1"/>
          <w:highlight w:val="yellow"/>
        </w:rPr>
        <w:t>Contractor is responsible for coordination of the Work.</w:t>
      </w:r>
    </w:p>
    <w:p>
      <w:pPr>
        <w:pStyle w:val="P3"/>
        <w:numPr>
          <w:ilvl w:val="2"/>
          <w:numId w:val="0"/>
        </w:numPr>
        <w:tabs>
          <w:tab w:val="left" w:pos="709" w:leader="none"/>
        </w:tabs>
        <w:ind w:firstLine="0" w:left="709"/>
        <w:rPr>
          <w:i w:val="1"/>
          <w:highlight w:val="yellow"/>
        </w:rPr>
      </w:pPr>
    </w:p>
    <w:p>
      <w:pPr>
        <w:pStyle w:val="P3"/>
        <w:numPr>
          <w:ilvl w:val="2"/>
          <w:numId w:val="0"/>
        </w:numPr>
        <w:tabs>
          <w:tab w:val="left" w:pos="709" w:leader="none"/>
        </w:tabs>
        <w:ind w:firstLine="0"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
        <w:numPr>
          <w:ilvl w:val="2"/>
          <w:numId w:val="0"/>
        </w:numPr>
        <w:tabs>
          <w:tab w:val="left" w:pos="709" w:leader="none"/>
        </w:tabs>
        <w:ind w:firstLine="0" w:left="709"/>
        <w:rPr>
          <w:i w:val="1"/>
          <w:highlight w:val="yellow"/>
        </w:rPr>
      </w:pPr>
    </w:p>
    <w:p>
      <w:pPr>
        <w:pStyle w:val="P3"/>
        <w:numPr>
          <w:ilvl w:val="2"/>
          <w:numId w:val="0"/>
        </w:numPr>
        <w:tabs>
          <w:tab w:val="left" w:pos="709" w:leader="none"/>
        </w:tabs>
        <w:ind w:firstLine="0" w:left="709"/>
        <w:rPr>
          <w:i w:val="1"/>
        </w:rPr>
      </w:pPr>
      <w:r>
        <w:rPr>
          <w:i w:val="1"/>
          <w:highlight w:val="yellow"/>
        </w:rPr>
        <w:t>[List Sections specifying installation of products supplied but not installed under this Section and indicate specific items.]</w:t>
      </w:r>
    </w:p>
    <w:p>
      <w:pPr>
        <w:pStyle w:val="P3"/>
      </w:pPr>
      <w:r>
        <w:t xml:space="preserve">Section [______ – ____________]:  Execution requirements for ...[item]...  specified under this Section.</w:t>
      </w:r>
    </w:p>
    <w:p>
      <w:pPr>
        <w:pStyle w:val="P3"/>
        <w:numPr>
          <w:ilvl w:val="2"/>
          <w:numId w:val="0"/>
        </w:numPr>
        <w:tabs>
          <w:tab w:val="left" w:pos="1418" w:leader="none"/>
        </w:tabs>
        <w:ind w:hanging="709" w:left="1418"/>
      </w:pPr>
    </w:p>
    <w:p>
      <w:pPr>
        <w:pStyle w:val="P3"/>
        <w:numPr>
          <w:ilvl w:val="2"/>
          <w:numId w:val="0"/>
        </w:numPr>
        <w:tabs>
          <w:tab w:val="left" w:pos="1418" w:leader="none"/>
        </w:tabs>
        <w:ind w:hanging="709" w:left="1418"/>
        <w:rPr>
          <w:i w:val="1"/>
        </w:rPr>
      </w:pPr>
      <w:r>
        <w:rPr>
          <w:i w:val="1"/>
        </w:rPr>
        <w:t>[</w:t>
      </w:r>
      <w:r>
        <w:rPr>
          <w:i w:val="1"/>
          <w:highlight w:val="yellow"/>
        </w:rPr>
        <w:t>List Sections specifying products installed but not supplied under this Section and indicate specific items.]</w:t>
      </w:r>
    </w:p>
    <w:p>
      <w:pPr>
        <w:pStyle w:val="P3"/>
        <w:numPr>
          <w:ilvl w:val="2"/>
          <w:numId w:val="21"/>
        </w:numPr>
      </w:pPr>
      <w:r>
        <w:t xml:space="preserve">Section [______ – ____________]:  Product requirements for ...[item]...  for installation under this Section.</w:t>
      </w:r>
    </w:p>
    <w:p>
      <w:pPr>
        <w:pStyle w:val="P3"/>
        <w:numPr>
          <w:ilvl w:val="2"/>
          <w:numId w:val="0"/>
        </w:numPr>
        <w:tabs>
          <w:tab w:val="left" w:pos="1418" w:leader="none"/>
        </w:tabs>
        <w:ind w:hanging="709" w:left="1418"/>
      </w:pPr>
    </w:p>
    <w:p>
      <w:pPr>
        <w:pStyle w:val="P3"/>
        <w:numPr>
          <w:ilvl w:val="2"/>
          <w:numId w:val="0"/>
        </w:numPr>
        <w:tabs>
          <w:tab w:val="left" w:pos="1418" w:leader="none"/>
        </w:tabs>
        <w:ind w:hanging="709" w:left="1429"/>
      </w:pPr>
      <w:r>
        <w:rPr>
          <w:highlight w:val="yellow"/>
        </w:rPr>
        <w:t>[List Sections specifying related requirements.]</w:t>
      </w:r>
    </w:p>
    <w:p>
      <w:pPr>
        <w:pStyle w:val="P3"/>
        <w:numPr>
          <w:ilvl w:val="2"/>
          <w:numId w:val="22"/>
        </w:numPr>
        <w:tabs>
          <w:tab w:val="left" w:pos="1418" w:leader="none"/>
          <w:tab w:val="clear" w:pos="1440" w:leader="none"/>
        </w:tabs>
      </w:pPr>
      <w:r>
        <w:t xml:space="preserve">Section [______ – ____________]:  [Optional short phrase indicating relationship].</w:t>
      </w:r>
    </w:p>
    <w:p>
      <w:pPr>
        <w:pStyle w:val="P2"/>
      </w:pPr>
      <w:r>
        <w:t>References</w:t>
      </w:r>
    </w:p>
    <w:p>
      <w:pPr>
        <w:pStyle w:val="P3"/>
        <w:tabs>
          <w:tab w:val="left" w:pos="1418" w:leader="none"/>
          <w:tab w:val="clear" w:pos="1440" w:leader="none"/>
        </w:tabs>
        <w:ind w:hanging="709" w:left="1418"/>
      </w:pPr>
      <w:r>
        <w:t>Comply with the latest edition of the following statutes codes and standards and all amendments thereto.</w:t>
      </w:r>
    </w:p>
    <w:p>
      <w:pPr>
        <w:pStyle w:val="P4"/>
        <w:tabs>
          <w:tab w:val="left" w:pos="2127" w:leader="none"/>
        </w:tabs>
        <w:ind w:hanging="709" w:left="2127"/>
      </w:pPr>
      <w:r>
        <w:t>American National Standards Institute (ANSI)</w:t>
      </w:r>
    </w:p>
    <w:p>
      <w:pPr>
        <w:pStyle w:val="P5"/>
        <w:tabs>
          <w:tab w:val="left" w:pos="2835" w:leader="none"/>
        </w:tabs>
        <w:ind w:hanging="708" w:left="2835"/>
      </w:pPr>
      <w:r>
        <w:t>ANSI/NFPA 10 2022 Edition, Standard for Portable Fire Extinguishers.</w:t>
      </w:r>
    </w:p>
    <w:p>
      <w:pPr>
        <w:pStyle w:val="P4"/>
        <w:tabs>
          <w:tab w:val="left" w:pos="2127" w:leader="none"/>
        </w:tabs>
        <w:ind w:hanging="709" w:left="2127"/>
      </w:pPr>
      <w:r>
        <w:t>Underwriters' Laboratories of Canada (ULC)</w:t>
      </w:r>
    </w:p>
    <w:p>
      <w:pPr>
        <w:pStyle w:val="P5"/>
        <w:tabs>
          <w:tab w:val="left" w:pos="2835" w:leader="none"/>
        </w:tabs>
        <w:ind w:hanging="708" w:left="2835"/>
      </w:pPr>
      <w:r>
        <w:t xml:space="preserve">CAN/ULC-S508:2018, Standard for the Rating and Fire Testing of Fire Extinguishers </w:t>
      </w:r>
    </w:p>
    <w:p>
      <w:pPr>
        <w:pStyle w:val="P2"/>
      </w:pPr>
      <w:r>
        <w:t>Measurement and Payment</w:t>
      </w:r>
    </w:p>
    <w:p>
      <w:pPr>
        <w:pStyle w:val="P49"/>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49"/>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
        <w:numPr>
          <w:ilvl w:val="2"/>
          <w:numId w:val="12"/>
        </w:numPr>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49"/>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
        <w:numPr>
          <w:ilvl w:val="2"/>
          <w:numId w:val="12"/>
        </w:numPr>
        <w:rPr>
          <w:highlight w:val="yellow"/>
        </w:rPr>
      </w:pPr>
      <w:r>
        <w:rPr>
          <w:highlight w:val="yellow"/>
        </w:rPr>
        <w:t>All costs associated with the work of this Section shall be included in the price(s) for Item No(s). ___ in the Bid Form.</w:t>
      </w:r>
    </w:p>
    <w:p>
      <w:pPr>
        <w:pStyle w:val="P49"/>
        <w:tabs>
          <w:tab w:val="left" w:pos="720" w:leader="none"/>
          <w:tab w:val="left" w:pos="1440" w:leader="none"/>
          <w:tab w:val="left" w:pos="2880" w:leader="none"/>
        </w:tabs>
        <w:spacing w:before="80" w:beforeAutospacing="0" w:afterAutospacing="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2"/>
      </w:pPr>
      <w:r>
        <w:t>Shop Drawings and Product Data</w:t>
      </w:r>
    </w:p>
    <w:p>
      <w:pPr>
        <w:pStyle w:val="P3"/>
        <w:tabs>
          <w:tab w:val="left" w:pos="1418" w:leader="none"/>
          <w:tab w:val="clear" w:pos="1440" w:leader="none"/>
        </w:tabs>
        <w:ind w:hanging="709" w:left="1418"/>
      </w:pPr>
      <w:r>
        <w:t xml:space="preserve">Submit shop drawings and product data in accordance with </w:t>
      </w:r>
      <w:r>
        <w:rPr>
          <w:highlight w:val="yellow"/>
        </w:rPr>
        <w:t>Section 01300 – Submittals</w:t>
      </w:r>
      <w:r>
        <w:t xml:space="preserve">. </w:t>
      </w:r>
    </w:p>
    <w:p>
      <w:pPr>
        <w:pStyle w:val="P2"/>
      </w:pPr>
      <w:r>
        <w:t>Closeout Submittals</w:t>
      </w:r>
    </w:p>
    <w:p>
      <w:pPr>
        <w:pStyle w:val="P3"/>
      </w:pPr>
      <w:r>
        <w:t xml:space="preserve">Provide maintenance data for incorporation into manual specified in </w:t>
      </w:r>
      <w:r>
        <w:rPr>
          <w:highlight w:val="yellow"/>
        </w:rPr>
        <w:t>Section 01430 – Operation and Maintenance Data</w:t>
      </w:r>
      <w:r>
        <w:t>.</w:t>
      </w:r>
    </w:p>
    <w:p>
      <w:pPr>
        <w:pStyle w:val="P3"/>
        <w:tabs>
          <w:tab w:val="left" w:pos="1418" w:leader="none"/>
          <w:tab w:val="clear" w:pos="1440" w:leader="none"/>
        </w:tabs>
        <w:ind w:hanging="709" w:left="1418"/>
      </w:pPr>
      <w:r>
        <w:t>Provide manufacturer’s product data for each item including sizes, ratings, ULC ratings, other certifications and mounting information.</w:t>
      </w:r>
    </w:p>
    <w:p>
      <w:pPr>
        <w:pStyle w:val="P1"/>
      </w:pPr>
      <w:r>
        <w:t>Products</w:t>
      </w:r>
    </w:p>
    <w:p>
      <w:pPr>
        <w:pStyle w:val="P2"/>
      </w:pPr>
      <w:r>
        <w:t>Water Pump Tank Extinguishers</w:t>
      </w:r>
    </w:p>
    <w:p>
      <w:pPr>
        <w:pStyle w:val="P3"/>
      </w:pPr>
      <w:r>
        <w:t xml:space="preserve">Stored water tank type, manual pump and handle with discharge hose and nozzle, </w:t>
      </w:r>
      <w:r>
        <w:rPr>
          <w:highlight w:val="yellow"/>
        </w:rPr>
        <w:t>[stainless steel] [copper] [polyethylene]</w:t>
      </w:r>
      <w:r>
        <w:t xml:space="preserve"> tank construction, ULC labelled for A class protection. </w:t>
      </w:r>
      <w:r>
        <w:rPr>
          <w:highlight w:val="yellow"/>
        </w:rPr>
        <w:t>[9.1]</w:t>
      </w:r>
      <w:r>
        <w:t xml:space="preserve"> L size.</w:t>
      </w:r>
    </w:p>
    <w:p>
      <w:pPr>
        <w:pStyle w:val="P2"/>
      </w:pPr>
      <w:r>
        <w:t>Water Pressurized Extinguishers</w:t>
      </w:r>
    </w:p>
    <w:p>
      <w:pPr>
        <w:pStyle w:val="P3"/>
      </w:pPr>
      <w:r>
        <w:t xml:space="preserve">Stored pressure type, squeeze grip operated of stainless steel construction, ULC labelled for A class protection. </w:t>
      </w:r>
      <w:r>
        <w:rPr>
          <w:highlight w:val="yellow"/>
        </w:rPr>
        <w:t>[9.1]</w:t>
      </w:r>
      <w:r>
        <w:t xml:space="preserve"> L size.</w:t>
      </w:r>
    </w:p>
    <w:p>
      <w:pPr>
        <w:pStyle w:val="P2"/>
      </w:pPr>
      <w:r>
        <w:t>Multi-Purpose Dry Chemical Extinguishers</w:t>
      </w:r>
    </w:p>
    <w:p>
      <w:pPr>
        <w:pStyle w:val="P3"/>
      </w:pPr>
      <w:r>
        <w:rPr>
          <w:highlight w:val="yellow"/>
        </w:rPr>
        <w:t>[Cartridge operated type] [or] [Stored pressure rechargeable type]</w:t>
      </w:r>
      <w:r>
        <w:t xml:space="preserve"> with </w:t>
      </w:r>
      <w:r>
        <w:rPr>
          <w:highlight w:val="yellow"/>
        </w:rPr>
        <w:t>[hose and]</w:t>
      </w:r>
      <w:r>
        <w:t xml:space="preserve"> shut off nozzle, ULC labelled for A, B and C class protection. Size</w:t>
      </w:r>
      <w:r>
        <w:rPr>
          <w:highlight w:val="yellow"/>
        </w:rPr>
        <w:t>[s] [1.14] [2.25] [4.5] [9] [and] [14]</w:t>
      </w:r>
      <w:r>
        <w:t xml:space="preserve"> kg </w:t>
      </w:r>
      <w:r>
        <w:rPr>
          <w:highlight w:val="yellow"/>
        </w:rPr>
        <w:t>[or as indicated on Contract Drawings].</w:t>
      </w:r>
    </w:p>
    <w:p>
      <w:pPr>
        <w:pStyle w:val="P2"/>
      </w:pPr>
      <w:r>
        <w:t>Ordinary Dry Chemical Extinguishers</w:t>
      </w:r>
    </w:p>
    <w:p>
      <w:pPr>
        <w:pStyle w:val="P3"/>
      </w:pPr>
      <w:r>
        <w:rPr>
          <w:highlight w:val="yellow"/>
        </w:rPr>
        <w:t>[Cartridge operated type] [or] [Stored pressure rechargeable type]</w:t>
      </w:r>
      <w:r>
        <w:t xml:space="preserve"> with </w:t>
      </w:r>
      <w:r>
        <w:rPr>
          <w:highlight w:val="yellow"/>
        </w:rPr>
        <w:t>[hose and]</w:t>
      </w:r>
      <w:r>
        <w:t xml:space="preserve"> shut off nozzle, ULC labelled for B and C class protection. Sizes </w:t>
      </w:r>
      <w:r>
        <w:rPr>
          <w:highlight w:val="yellow"/>
        </w:rPr>
        <w:t>[1.27] [2.25] [4.5] [9] [and] [14]</w:t>
      </w:r>
      <w:r>
        <w:t xml:space="preserve"> kg </w:t>
      </w:r>
      <w:r>
        <w:rPr>
          <w:highlight w:val="yellow"/>
        </w:rPr>
        <w:t>[or as indicated on Contract Drawings].</w:t>
      </w:r>
    </w:p>
    <w:p>
      <w:pPr>
        <w:pStyle w:val="P2"/>
      </w:pPr>
      <w:r>
        <w:t>Carbon Dioxide</w:t>
      </w:r>
    </w:p>
    <w:p>
      <w:pPr>
        <w:pStyle w:val="P3"/>
      </w:pPr>
      <w:r>
        <w:t xml:space="preserve">Extinguishers Insulated handle, hose and horn discharge assembly, self closing lever or squeeze grip operation, fully charged, ULC labelled for B and C class protection. Sizes </w:t>
      </w:r>
      <w:r>
        <w:rPr>
          <w:highlight w:val="yellow"/>
        </w:rPr>
        <w:t>[2.25] [4.5] [6.8] [and] [9.0]</w:t>
      </w:r>
      <w:r>
        <w:t xml:space="preserve"> kg </w:t>
      </w:r>
      <w:r>
        <w:rPr>
          <w:highlight w:val="yellow"/>
        </w:rPr>
        <w:t>[or as indicated on Contract Drawings].</w:t>
      </w:r>
    </w:p>
    <w:p>
      <w:pPr>
        <w:pStyle w:val="P2"/>
      </w:pPr>
      <w:r>
        <w:t>Dry Chemical Extinguishers (Class D)</w:t>
      </w:r>
    </w:p>
    <w:p>
      <w:pPr>
        <w:pStyle w:val="P3"/>
      </w:pPr>
      <w:r>
        <w:rPr>
          <w:highlight w:val="yellow"/>
        </w:rPr>
        <w:t>[Cartridge operated type] [or] [Stored pressure rechargeable type]</w:t>
      </w:r>
      <w:r>
        <w:t xml:space="preserve"> with hose and shut off nozzle, ULC labelled for D class protection. Size </w:t>
      </w:r>
      <w:r>
        <w:rPr>
          <w:highlight w:val="yellow"/>
        </w:rPr>
        <w:t>[13.6]</w:t>
      </w:r>
      <w:r>
        <w:t xml:space="preserve"> kg </w:t>
      </w:r>
      <w:r>
        <w:rPr>
          <w:highlight w:val="yellow"/>
        </w:rPr>
        <w:t>[or as indicated on Contract drawings].</w:t>
      </w:r>
    </w:p>
    <w:p>
      <w:pPr>
        <w:pStyle w:val="P2"/>
      </w:pPr>
      <w:r>
        <w:t>Extinguisher Brackets</w:t>
      </w:r>
    </w:p>
    <w:p>
      <w:pPr>
        <w:pStyle w:val="P3"/>
      </w:pPr>
      <w:r>
        <w:t>Type recommended by extinguisher manufacturer.</w:t>
      </w:r>
    </w:p>
    <w:p>
      <w:pPr>
        <w:pStyle w:val="P2"/>
      </w:pPr>
      <w:r>
        <w:t>Cabinets</w:t>
      </w:r>
    </w:p>
    <w:p>
      <w:pPr>
        <w:pStyle w:val="P3"/>
      </w:pPr>
      <w:r>
        <w:rPr>
          <w:highlight w:val="yellow"/>
        </w:rPr>
        <w:t>[Flush] [surface] [or] [semi recessed]</w:t>
      </w:r>
      <w:r>
        <w:t xml:space="preserve"> type as indicated, constructed of 1.6 mm thick steel, 180° opening door of 2.5 mm thick steel with latching device.</w:t>
      </w:r>
    </w:p>
    <w:p>
      <w:pPr>
        <w:pStyle w:val="P3"/>
      </w:pPr>
      <w:r>
        <w:t>Cabinet to maintain fire resistive rating of construction in which they occur.</w:t>
      </w:r>
    </w:p>
    <w:p>
      <w:pPr>
        <w:pStyle w:val="P3"/>
      </w:pPr>
      <w:r>
        <w:t xml:space="preserve">Cabinet door: with </w:t>
      </w:r>
      <w:r>
        <w:rPr>
          <w:highlight w:val="yellow"/>
        </w:rPr>
        <w:t>[5 mm full glass panel]</w:t>
      </w:r>
      <w:r>
        <w:t xml:space="preserve"> </w:t>
      </w:r>
      <w:r>
        <w:rPr>
          <w:highlight w:val="yellow"/>
        </w:rPr>
        <w:t>[metal panel]</w:t>
      </w:r>
      <w:r>
        <w:t>.</w:t>
      </w:r>
    </w:p>
    <w:p>
      <w:pPr>
        <w:pStyle w:val="P3"/>
      </w:pPr>
      <w:r>
        <w:t>Finish:</w:t>
      </w:r>
    </w:p>
    <w:p>
      <w:pPr>
        <w:pStyle w:val="P4"/>
      </w:pPr>
      <w:r>
        <w:t>Tub: prime coated.</w:t>
      </w:r>
    </w:p>
    <w:p>
      <w:pPr>
        <w:pStyle w:val="P4"/>
      </w:pPr>
      <w:r>
        <w:t xml:space="preserve">Door and frame: </w:t>
      </w:r>
      <w:r>
        <w:rPr>
          <w:highlight w:val="yellow"/>
        </w:rPr>
        <w:t>[No.4 satin finish stainless steel].</w:t>
      </w:r>
    </w:p>
    <w:p>
      <w:pPr>
        <w:pStyle w:val="P2"/>
      </w:pPr>
      <w:r>
        <w:t>Identification</w:t>
      </w:r>
    </w:p>
    <w:p>
      <w:pPr>
        <w:pStyle w:val="P3"/>
      </w:pPr>
      <w:r>
        <w:t xml:space="preserve">Identify extinguishers in accordance with recommendations of </w:t>
      </w:r>
      <w:r>
        <w:rPr>
          <w:highlight w:val="yellow"/>
        </w:rPr>
        <w:t>[ANSI/NFPA 10]</w:t>
      </w:r>
      <w:r>
        <w:t xml:space="preserve"> </w:t>
      </w:r>
      <w:r>
        <w:rPr>
          <w:highlight w:val="yellow"/>
        </w:rPr>
        <w:t>[CAN/ULC S508]</w:t>
      </w:r>
      <w:r>
        <w:t>.</w:t>
      </w:r>
    </w:p>
    <w:p>
      <w:pPr>
        <w:pStyle w:val="P3"/>
      </w:pPr>
      <w:r>
        <w:t>Attach bilingual (French/English) tag or label to extinguishers, indicating month and year of installation. Provide space for service dates.</w:t>
      </w:r>
    </w:p>
    <w:p>
      <w:pPr>
        <w:pStyle w:val="P2"/>
      </w:pPr>
      <w:r>
        <w:t xml:space="preserve">Fire Safety Blankets </w:t>
      </w:r>
    </w:p>
    <w:p>
      <w:pPr>
        <w:pStyle w:val="P3"/>
      </w:pPr>
      <w:r>
        <w:rPr>
          <w:highlight w:val="yellow"/>
        </w:rPr>
        <w:t>[180cm x 180cm]</w:t>
      </w:r>
      <w:r>
        <w:t xml:space="preserve"> of </w:t>
      </w:r>
      <w:r>
        <w:rPr>
          <w:highlight w:val="yellow"/>
        </w:rPr>
        <w:t>[silicone coated fibre glass]</w:t>
      </w:r>
      <w:r>
        <w:t xml:space="preserve"> in </w:t>
      </w:r>
      <w:r>
        <w:rPr>
          <w:highlight w:val="yellow"/>
        </w:rPr>
        <w:t>[metal]</w:t>
      </w:r>
      <w:r>
        <w:t xml:space="preserve"> container.</w:t>
      </w:r>
    </w:p>
    <w:p>
      <w:pPr>
        <w:pStyle w:val="P3"/>
      </w:pPr>
      <w:r>
        <w:t>Metal container to be marked Fire Safety Blankets.</w:t>
      </w:r>
    </w:p>
    <w:p>
      <w:pPr>
        <w:pStyle w:val="P2"/>
      </w:pPr>
      <w:r>
        <w:t>Accessories</w:t>
      </w:r>
    </w:p>
    <w:p>
      <w:pPr>
        <w:pStyle w:val="P3"/>
      </w:pPr>
      <w:r>
        <w:t>Fasteners: Furnish necessary screws, bolts, brackets, and other fastenings of suitable type and size to secure items of fire and safety equipment in position.</w:t>
      </w:r>
    </w:p>
    <w:p>
      <w:pPr>
        <w:pStyle w:val="P4"/>
      </w:pPr>
      <w:r>
        <w:t>Metal expansion shields for machine screws at concrete and masonry.</w:t>
      </w:r>
    </w:p>
    <w:p>
      <w:pPr>
        <w:pStyle w:val="P4"/>
      </w:pPr>
      <w:r>
        <w:t>Interior: Rust-resistant.</w:t>
      </w:r>
    </w:p>
    <w:p>
      <w:pPr>
        <w:pStyle w:val="P4"/>
      </w:pPr>
      <w:r>
        <w:t>Exterior: Stainless steel.</w:t>
      </w:r>
    </w:p>
    <w:p>
      <w:pPr>
        <w:pStyle w:val="P3"/>
      </w:pPr>
      <w:r>
        <w:t>Brackets: For all hand extinguishers not located in cabinets, furnish heavy-duty brackets with clip-together strap for wall mounting.</w:t>
      </w:r>
    </w:p>
    <w:p>
      <w:pPr>
        <w:pStyle w:val="P1"/>
      </w:pPr>
      <w:r>
        <w:t>EXECUTION</w:t>
      </w:r>
    </w:p>
    <w:p>
      <w:pPr>
        <w:pStyle w:val="P2"/>
      </w:pPr>
      <w:r>
        <w:t>Installation</w:t>
      </w:r>
    </w:p>
    <w:p>
      <w:pPr>
        <w:pStyle w:val="P3"/>
      </w:pPr>
      <w:r>
        <w:t>Install or mount extinguishers in cabinets or on brackets as indicated in the Contract Drawings.</w:t>
      </w:r>
    </w:p>
    <w:p>
      <w:pPr>
        <w:pStyle w:val="P3"/>
      </w:pPr>
      <w:r>
        <w:t>Install fire safety blankets as indicated in the Contract Drawings.</w:t>
      </w:r>
    </w:p>
    <w:p>
      <w:pPr>
        <w:pStyle w:val="P3"/>
      </w:pPr>
      <w:r>
        <w:t>Do not install extinguishers until after wall finishing work is complete.</w:t>
      </w:r>
    </w:p>
    <w:p>
      <w:pPr>
        <w:pStyle w:val="P3"/>
      </w:pPr>
      <w:r>
        <w:t>If extinguishers are indicated adjacent to a door, locate the extinguishers at the strike side of the door.</w:t>
      </w:r>
    </w:p>
    <w:p>
      <w:pPr>
        <w:pStyle w:val="P3"/>
      </w:pPr>
      <w:r>
        <w:t>Fire extinguishers having a gross weight not exceeding 18.14 kg shall be installed so that the top of the fire extinguisher is not more than 1.53 m above the floor.</w:t>
      </w:r>
    </w:p>
    <w:p>
      <w:pPr>
        <w:pStyle w:val="P3"/>
      </w:pPr>
      <w:r>
        <w:t>Fire extinguishers having a gross weight greater than 18.14 kg shall be installed so that the top of the fire extinguisher is not more than 1.07 m above the floor.</w:t>
      </w:r>
    </w:p>
    <w:p>
      <w:pPr>
        <w:pStyle w:val="P3"/>
      </w:pPr>
      <w:r>
        <w:t>In no case shall the clearance between the bottom of the fire extinguisher and the floor be less than 102 mm.</w:t>
      </w:r>
    </w:p>
    <w:p>
      <w:pPr>
        <w:ind w:left="720"/>
      </w:pPr>
    </w:p>
    <w:p>
      <w:pPr>
        <w:pStyle w:val="P44"/>
        <w:spacing w:before="240" w:beforeAutospacing="0" w:afterAutospacing="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lightGray"/>
      </w:rPr>
      <w:t>.... [Insert Owner Number]</w:t>
    </w:r>
    <w:r>
      <w:rPr>
        <w:rFonts w:ascii="Arial" w:hAnsi="Arial"/>
      </w:rPr>
      <w:tab/>
      <w:t>Section 10420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FIRE EXTINGUISHERS AND SAFETY EQUIPMENT</w:t>
    </w:r>
    <w:r>
      <w:rPr>
        <w:rFonts w:ascii="Arial" w:hAnsi="Arial"/>
      </w:rPr>
      <w:tab/>
      <w:t>2012-07-16</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pPr>
    <w:r>
      <w:t>CONTRACT NO</w:t>
    </w:r>
    <w:r>
      <w:rPr>
        <w:highlight w:val="yellow"/>
      </w:rPr>
      <w:t>.... [Insert Owner Number]</w:t>
    </w:r>
    <w:r>
      <w:tab/>
      <w:t>Section 10420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10080" w:leader="none"/>
      </w:tabs>
    </w:pPr>
    <w:r>
      <w:rPr>
        <w:b w:val="1"/>
      </w:rPr>
      <w:tab/>
      <w:t>FIRE EXTINGUISHERS AND SAFETY BLANKETS</w:t>
    </w:r>
    <w:r>
      <w:tab/>
      <w:t>2022-06-22</w:t>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pPr>
    <w:r>
      <w:t xml:space="preserve">DATE: </w:t>
    </w:r>
    <w:r>
      <w:rPr>
        <w:highlight w:val="yellow"/>
      </w:rPr>
      <w:t>[Insert Date, (e.g. Jan., 2020)]</w:t>
    </w:r>
    <w:r>
      <w:tab/>
      <w:tab/>
      <w:t xml:space="preserve">Page </w:t>
    </w:r>
    <w:r>
      <w:fldChar w:fldCharType="begin"/>
    </w:r>
    <w:r>
      <w:instrText xml:space="preserve">PAGE </w:instrText>
    </w:r>
    <w:r>
      <w:fldChar w:fldCharType="separate"/>
    </w:r>
    <w:r>
      <w:t>#</w:t>
    </w:r>
    <w:r>
      <w:fldChar w:fldCharType="end"/>
    </w:r>
    <w:r>
      <w:t xml:space="preserve"> </w:t>
    </w:r>
  </w:p>
  <w:p>
    <w:pPr>
      <w:pStyle w:val="P23"/>
      <w:tabs>
        <w:tab w:val="right" w:pos="10080" w:leader="none"/>
      </w:tabs>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pPr>
    <w:r>
      <w:t>Section 10420</w:t>
      <w:tab/>
      <w:t>CONTRACT NO</w:t>
    </w:r>
    <w:r>
      <w:rPr>
        <w:highlight w:val="yellow"/>
      </w:rPr>
      <w:t>.... [Insert Owner Number]</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10080" w:leader="none"/>
      </w:tabs>
    </w:pPr>
    <w:r>
      <w:t>2022-06-22</w:t>
    </w:r>
    <w:r>
      <w:rPr>
        <w:b w:val="1"/>
      </w:rPr>
      <w:tab/>
      <w:t>FIRE EXTINGUISHERS AND SAFETY BLANKETS</w:t>
    </w:r>
    <w:r>
      <w:tab/>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2020)]</w:t>
    </w:r>
    <w:r>
      <w:t xml:space="preserve"> </w:t>
    </w:r>
  </w:p>
  <w:p>
    <w:pPr>
      <w:pStyle w:val="P23"/>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22055019">
      <w:start w:val="1"/>
      <w:numFmt w:val="decimal"/>
      <w:suff w:val="tab"/>
      <w:lvlText w:val="%1."/>
      <w:lvlJc w:val="left"/>
      <w:pPr/>
      <w:rPr/>
    </w:lvl>
    <w:lvl w:ilvl="2" w:tplc="658A0D8E">
      <w:start w:val="1"/>
      <w:numFmt w:val="decimal"/>
      <w:suff w:val="tab"/>
      <w:lvlText w:val="%1."/>
      <w:lvlJc w:val="left"/>
      <w:pPr/>
      <w:rPr/>
    </w:lvl>
    <w:lvl w:ilvl="3" w:tplc="0A02505F">
      <w:start w:val="1"/>
      <w:numFmt w:val="decimal"/>
      <w:suff w:val="tab"/>
      <w:lvlText w:val="%1."/>
      <w:lvlJc w:val="left"/>
      <w:pPr/>
      <w:rPr/>
    </w:lvl>
    <w:lvl w:ilvl="4" w:tplc="7F684D31">
      <w:start w:val="1"/>
      <w:numFmt w:val="decimal"/>
      <w:suff w:val="tab"/>
      <w:lvlText w:val="%1."/>
      <w:lvlJc w:val="left"/>
      <w:pPr/>
      <w:rPr/>
    </w:lvl>
    <w:lvl w:ilvl="5" w:tplc="471CA08B">
      <w:start w:val="1"/>
      <w:numFmt w:val="decimal"/>
      <w:suff w:val="tab"/>
      <w:lvlText w:val="%1."/>
      <w:lvlJc w:val="left"/>
      <w:pPr/>
      <w:rPr/>
    </w:lvl>
    <w:lvl w:ilvl="6" w:tplc="1B334E3A">
      <w:start w:val="1"/>
      <w:numFmt w:val="decimal"/>
      <w:suff w:val="tab"/>
      <w:lvlText w:val="%1."/>
      <w:lvlJc w:val="left"/>
      <w:pPr/>
      <w:rPr/>
    </w:lvl>
    <w:lvl w:ilvl="7" w:tplc="0F864D6B">
      <w:start w:val="1"/>
      <w:numFmt w:val="decimal"/>
      <w:suff w:val="tab"/>
      <w:lvlText w:val="%1."/>
      <w:lvlJc w:val="left"/>
      <w:pPr/>
      <w:rPr/>
    </w:lvl>
    <w:lvl w:ilvl="8" w:tplc="17EE4AE6">
      <w:start w:val="1"/>
      <w:numFmt w:val="decimal"/>
      <w:suff w:val="tab"/>
      <w:lvlText w:val="%1."/>
      <w:lvlJc w:val="left"/>
      <w:pPr/>
      <w:rPr/>
    </w:lvl>
  </w:abstractNum>
  <w:abstractNum w:abstractNumId="1">
    <w:nsid w:val="07364153"/>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pStyle w:val="P9"/>
      <w:suff w:val="tab"/>
      <w:lvlText w:val="%9."/>
      <w:lvlJc w:val="left"/>
      <w:pPr>
        <w:ind w:hanging="720" w:left="6480"/>
        <w:tabs>
          <w:tab w:val="left" w:pos="6480"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156F01"/>
    <w:multiLevelType w:val="hybridMultilevel"/>
    <w:lvl w:ilvl="0" w:tplc="04090001">
      <w:start w:val="1"/>
      <w:numFmt w:val="bullet"/>
      <w:suff w:val="tab"/>
      <w:lvlText w:val=""/>
      <w:lvlJc w:val="left"/>
      <w:pPr>
        <w:ind w:hanging="360" w:left="720"/>
        <w:tabs>
          <w:tab w:val="left" w:pos="720" w:leader="none"/>
        </w:tabs>
      </w:pPr>
      <w:rPr>
        <w:rFonts w:ascii="Symbol" w:hAnsi="Symbol"/>
      </w:rPr>
    </w:lvl>
    <w:lvl w:ilvl="1" w:tplc="04090003">
      <w:start w:val="1"/>
      <w:numFmt w:val="bullet"/>
      <w:suff w:val="tab"/>
      <w:lvlText w:val="o"/>
      <w:lvlJc w:val="left"/>
      <w:pPr>
        <w:ind w:hanging="360" w:left="1440"/>
        <w:tabs>
          <w:tab w:val="left" w:pos="1440" w:leader="none"/>
        </w:tabs>
      </w:pPr>
      <w:rPr>
        <w:rFonts w:ascii="Courier New" w:hAnsi="Courier New"/>
      </w:rPr>
    </w:lvl>
    <w:lvl w:ilvl="2" w:tplc="04090005">
      <w:start w:val="1"/>
      <w:numFmt w:val="bullet"/>
      <w:suff w:val="tab"/>
      <w:lvlText w:val=""/>
      <w:lvlJc w:val="left"/>
      <w:pPr>
        <w:ind w:hanging="360" w:left="2160"/>
        <w:tabs>
          <w:tab w:val="left" w:pos="2160" w:leader="none"/>
        </w:tabs>
      </w:pPr>
      <w:rPr>
        <w:rFonts w:ascii="Wingdings" w:hAnsi="Wingdings"/>
      </w:rPr>
    </w:lvl>
    <w:lvl w:ilvl="3" w:tplc="04090001">
      <w:start w:val="1"/>
      <w:numFmt w:val="bullet"/>
      <w:suff w:val="tab"/>
      <w:lvlText w:val=""/>
      <w:lvlJc w:val="left"/>
      <w:pPr>
        <w:ind w:hanging="360" w:left="2880"/>
        <w:tabs>
          <w:tab w:val="left" w:pos="2880" w:leader="none"/>
        </w:tabs>
      </w:pPr>
      <w:rPr>
        <w:rFonts w:ascii="Symbol" w:hAnsi="Symbol"/>
      </w:rPr>
    </w:lvl>
    <w:lvl w:ilvl="4" w:tplc="04090003">
      <w:start w:val="1"/>
      <w:numFmt w:val="bullet"/>
      <w:suff w:val="tab"/>
      <w:lvlText w:val="o"/>
      <w:lvlJc w:val="left"/>
      <w:pPr>
        <w:ind w:hanging="360" w:left="3600"/>
        <w:tabs>
          <w:tab w:val="left" w:pos="3600" w:leader="none"/>
        </w:tabs>
      </w:pPr>
      <w:rPr>
        <w:rFonts w:ascii="Courier New" w:hAnsi="Courier New"/>
      </w:rPr>
    </w:lvl>
    <w:lvl w:ilvl="5" w:tplc="04090005">
      <w:start w:val="1"/>
      <w:numFmt w:val="bullet"/>
      <w:suff w:val="tab"/>
      <w:lvlText w:val=""/>
      <w:lvlJc w:val="left"/>
      <w:pPr>
        <w:ind w:hanging="360" w:left="4320"/>
        <w:tabs>
          <w:tab w:val="left" w:pos="4320" w:leader="none"/>
        </w:tabs>
      </w:pPr>
      <w:rPr>
        <w:rFonts w:ascii="Wingdings" w:hAnsi="Wingdings"/>
      </w:rPr>
    </w:lvl>
    <w:lvl w:ilvl="6" w:tplc="04090001">
      <w:start w:val="1"/>
      <w:numFmt w:val="bullet"/>
      <w:suff w:val="tab"/>
      <w:lvlText w:val=""/>
      <w:lvlJc w:val="left"/>
      <w:pPr>
        <w:ind w:hanging="360" w:left="5040"/>
        <w:tabs>
          <w:tab w:val="left" w:pos="5040" w:leader="none"/>
        </w:tabs>
      </w:pPr>
      <w:rPr>
        <w:rFonts w:ascii="Symbol" w:hAnsi="Symbol"/>
      </w:rPr>
    </w:lvl>
    <w:lvl w:ilvl="7" w:tplc="04090003">
      <w:start w:val="1"/>
      <w:numFmt w:val="bullet"/>
      <w:suff w:val="tab"/>
      <w:lvlText w:val="o"/>
      <w:lvlJc w:val="left"/>
      <w:pPr>
        <w:ind w:hanging="360" w:left="5760"/>
        <w:tabs>
          <w:tab w:val="left" w:pos="5760" w:leader="none"/>
        </w:tabs>
      </w:pPr>
      <w:rPr>
        <w:rFonts w:ascii="Courier New" w:hAnsi="Courier New"/>
      </w:rPr>
    </w:lvl>
    <w:lvl w:ilvl="8" w:tplc="04090005">
      <w:start w:val="1"/>
      <w:numFmt w:val="bullet"/>
      <w:suff w:val="tab"/>
      <w:lvlText w:val=""/>
      <w:lvlJc w:val="left"/>
      <w:pPr>
        <w:ind w:hanging="360" w:left="6480"/>
        <w:tabs>
          <w:tab w:val="left" w:pos="6480" w:leader="none"/>
        </w:tabs>
      </w:pPr>
      <w:rPr>
        <w:rFonts w:ascii="Wingdings" w:hAnsi="Wingdings"/>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rFonts w:ascii="Calibri" w:hAnsi="Calibri"/>
        <w:color w:val="000000"/>
        <w:sz w:val="22"/>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pStyle w:val="P8"/>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5"/>
  </w:num>
  <w:num w:numId="5">
    <w:abstractNumId w:val="10"/>
  </w:num>
  <w:num w:numId="6">
    <w:abstractNumId w:val="4"/>
  </w:num>
  <w:num w:numId="7">
    <w:abstractNumId w:val="7"/>
  </w:num>
  <w:num w:numId="8">
    <w:abstractNumId w:val="2"/>
  </w:num>
  <w:num w:numId="9">
    <w:abstractNumId w:val="11"/>
  </w:num>
  <w:num w:numId="10">
    <w:abstractNumId w:val="6"/>
  </w:num>
  <w:num w:numId="11">
    <w:abstractNumId w:val="3"/>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2"/>
      <w:lang w:val="en-CA" w:eastAsia="en-CA"/>
    </w:rPr>
  </w:style>
  <w:style w:type="paragraph" w:styleId="P1">
    <w:name w:val="heading 1"/>
    <w:basedOn w:val="P48"/>
    <w:link w:val="C8"/>
    <w:qFormat/>
    <w:pPr>
      <w:numPr>
        <w:numId w:val="20"/>
      </w:numPr>
      <w:spacing w:before="160" w:beforeAutospacing="0" w:afterAutospacing="0"/>
      <w:outlineLvl w:val="0"/>
    </w:pPr>
    <w:rPr>
      <w:caps w:val="1"/>
    </w:rPr>
  </w:style>
  <w:style w:type="paragraph" w:styleId="P2">
    <w:name w:val="heading 2"/>
    <w:basedOn w:val="P48"/>
    <w:next w:val="P0"/>
    <w:link w:val="C9"/>
    <w:qFormat/>
    <w:pPr>
      <w:numPr>
        <w:ilvl w:val="1"/>
        <w:numId w:val="20"/>
      </w:numPr>
      <w:spacing w:before="80" w:beforeAutospacing="0" w:afterAutospacing="0"/>
      <w:outlineLvl w:val="1"/>
    </w:pPr>
    <w:rPr>
      <w:u w:val="single"/>
    </w:rPr>
  </w:style>
  <w:style w:type="paragraph" w:styleId="P3">
    <w:name w:val="heading 3"/>
    <w:basedOn w:val="P48"/>
    <w:link w:val="C7"/>
    <w:qFormat/>
    <w:pPr>
      <w:numPr>
        <w:ilvl w:val="2"/>
        <w:numId w:val="20"/>
      </w:numPr>
      <w:outlineLvl w:val="2"/>
    </w:pPr>
    <w:rPr/>
  </w:style>
  <w:style w:type="paragraph" w:styleId="P4">
    <w:name w:val="heading 4"/>
    <w:basedOn w:val="P48"/>
    <w:link w:val="C10"/>
    <w:qFormat/>
    <w:pPr>
      <w:numPr>
        <w:ilvl w:val="3"/>
        <w:numId w:val="20"/>
      </w:numPr>
      <w:outlineLvl w:val="3"/>
    </w:pPr>
    <w:rPr/>
  </w:style>
  <w:style w:type="paragraph" w:styleId="P5">
    <w:name w:val="heading 5"/>
    <w:basedOn w:val="P4"/>
    <w:link w:val="C11"/>
    <w:qFormat/>
    <w:pPr>
      <w:numPr>
        <w:ilvl w:val="4"/>
      </w:numPr>
      <w:outlineLvl w:val="4"/>
    </w:pPr>
    <w:rPr/>
  </w:style>
  <w:style w:type="paragraph" w:styleId="P6">
    <w:name w:val="heading 6"/>
    <w:basedOn w:val="P5"/>
    <w:next w:val="P0"/>
    <w:link w:val="C12"/>
    <w:qFormat/>
    <w:pPr>
      <w:numPr>
        <w:ilvl w:val="5"/>
      </w:numPr>
      <w:outlineLvl w:val="5"/>
    </w:pPr>
    <w:rPr/>
  </w:style>
  <w:style w:type="paragraph" w:styleId="P7">
    <w:name w:val="heading 7"/>
    <w:basedOn w:val="P48"/>
    <w:next w:val="P0"/>
    <w:link w:val="C13"/>
    <w:qFormat/>
    <w:pPr>
      <w:numPr>
        <w:ilvl w:val="6"/>
        <w:numId w:val="20"/>
      </w:numPr>
      <w:outlineLvl w:val="6"/>
    </w:pPr>
    <w:rPr/>
  </w:style>
  <w:style w:type="paragraph" w:styleId="P8">
    <w:name w:val="heading 8"/>
    <w:basedOn w:val="P7"/>
    <w:next w:val="P0"/>
    <w:link w:val="C14"/>
    <w:qFormat/>
    <w:pPr>
      <w:numPr>
        <w:ilvl w:val="7"/>
      </w:numPr>
      <w:outlineLvl w:val="7"/>
    </w:pPr>
    <w:rPr/>
  </w:style>
  <w:style w:type="paragraph" w:styleId="P9">
    <w:name w:val="heading 9"/>
    <w:basedOn w:val="P8"/>
    <w:next w:val="P0"/>
    <w:link w:val="C15"/>
    <w:qFormat/>
    <w:pPr>
      <w:numPr>
        <w:ilvl w:val="8"/>
        <w:numId w:val="23"/>
      </w:numPr>
      <w:tabs>
        <w:tab w:val="left" w:pos="5760" w:leader="none"/>
      </w:tabs>
      <w:outlineLvl w:val="8"/>
    </w:pPr>
    <w:rPr/>
  </w:style>
  <w:style w:type="paragraph" w:styleId="P10">
    <w:name w:val="Body Text"/>
    <w:basedOn w:val="P0"/>
    <w:pPr>
      <w:spacing w:after="160" w:beforeAutospacing="0" w:afterAutospacing="0"/>
    </w:pPr>
    <w:rPr>
      <w:rFonts w:ascii="Book Antiqua" w:hAnsi="Book Antiqua"/>
    </w:rPr>
  </w:style>
  <w:style w:type="paragraph" w:styleId="P11">
    <w:name w:val="Bullet"/>
    <w:basedOn w:val="P10"/>
    <w:next w:val="P10"/>
    <w:pPr/>
    <w:rPr/>
  </w:style>
  <w:style w:type="paragraph" w:styleId="P12">
    <w:name w:val="annotation text"/>
    <w:basedOn w:val="P0"/>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0"/>
    <w:link w:val="C16"/>
    <w:qFormat/>
    <w:pPr>
      <w:keepNext w:val="1"/>
      <w:spacing w:before="160" w:after="30" w:beforeAutospacing="0" w:afterAutospacing="0"/>
    </w:pPr>
    <w:rPr>
      <w:rFonts w:ascii="Arial Narrow" w:hAnsi="Arial Narrow"/>
      <w:b w:val="1"/>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Table Heading"/>
    <w:basedOn w:val="P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beforeAutospacing="0" w:afterAutospacing="0"/>
      <w:jc w:val="center"/>
    </w:pPr>
    <w:rPr>
      <w:rFonts w:ascii="Times New Roman" w:hAnsi="Times New Roman"/>
      <w:b w:val="1"/>
      <w:sz w:val="24"/>
    </w:rPr>
  </w:style>
  <w:style w:type="paragraph" w:styleId="P46">
    <w:name w:val="Normal Table Text"/>
    <w:basedOn w:val="P0"/>
    <w:pPr>
      <w:widowControl w:val="0"/>
      <w:spacing w:before="60" w:after="60" w:beforeAutospacing="0" w:afterAutospacing="0"/>
    </w:pPr>
    <w:rPr>
      <w:rFonts w:ascii="Arial" w:hAnsi="Arial"/>
      <w:sz w:val="20"/>
      <w:lang w:val="en-GB"/>
    </w:rPr>
  </w:style>
  <w:style w:type="paragraph" w:styleId="P47">
    <w:name w:val="Balloon Text"/>
    <w:basedOn w:val="P0"/>
    <w:semiHidden/>
    <w:pPr/>
    <w:rPr>
      <w:rFonts w:ascii="Tahoma" w:hAnsi="Tahoma"/>
      <w:sz w:val="16"/>
    </w:rPr>
  </w:style>
  <w:style w:type="paragraph" w:styleId="P48">
    <w:name w:val="List Paragraph"/>
    <w:basedOn w:val="P0"/>
    <w:qFormat/>
    <w:pPr>
      <w:ind w:left="720"/>
      <w:contextualSpacing w:val="1"/>
    </w:pPr>
    <w:rPr/>
  </w:style>
  <w:style w:type="paragraph" w:styleId="P49">
    <w:name w:val="Plain Text"/>
    <w:basedOn w:val="P0"/>
    <w:link w:val="C18"/>
    <w:pPr/>
    <w:rPr>
      <w:rFonts w:ascii="Courier New" w:hAnsi="Courier New"/>
      <w:sz w:val="20"/>
      <w:lang w:val="en-US" w:eastAsia="en-US"/>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style>
  <w:style w:type="character" w:styleId="C8">
    <w:name w:val="Heading 1 Char"/>
    <w:link w:val="P1"/>
    <w:rPr>
      <w:caps w:val="1"/>
    </w:rPr>
  </w:style>
  <w:style w:type="character" w:styleId="C9">
    <w:name w:val="Heading 2 Char"/>
    <w:link w:val="P2"/>
    <w:rPr>
      <w:u w:val="single"/>
    </w:rPr>
  </w:style>
  <w:style w:type="character" w:styleId="C10">
    <w:name w:val="Heading 4 Char"/>
    <w:link w:val="P4"/>
    <w:rPr/>
  </w:style>
  <w:style w:type="character" w:styleId="C11">
    <w:name w:val="Heading 5 Char"/>
    <w:link w:val="P5"/>
    <w:rPr/>
  </w:style>
  <w:style w:type="character" w:styleId="C12">
    <w:name w:val="Heading 6 Char"/>
    <w:link w:val="P6"/>
    <w:rPr/>
  </w:style>
  <w:style w:type="character" w:styleId="C13">
    <w:name w:val="Heading 7 Char"/>
    <w:link w:val="P7"/>
    <w:rPr/>
  </w:style>
  <w:style w:type="character" w:styleId="C14">
    <w:name w:val="Heading 8 Char"/>
    <w:link w:val="P8"/>
    <w:rPr/>
  </w:style>
  <w:style w:type="character" w:styleId="C15">
    <w:name w:val="Heading 9 Char"/>
    <w:link w:val="P9"/>
    <w:rPr/>
  </w:style>
  <w:style w:type="character" w:styleId="C16">
    <w:name w:val="Title Char"/>
    <w:link w:val="P30"/>
    <w:rPr>
      <w:rFonts w:ascii="Arial Narrow" w:hAnsi="Arial Narrow"/>
      <w:b w:val="1"/>
    </w:rPr>
  </w:style>
  <w:style w:type="character" w:styleId="C17">
    <w:name w:val="Strong"/>
    <w:qFormat/>
    <w:rPr>
      <w:b w:val="1"/>
    </w:rPr>
  </w:style>
  <w:style w:type="character" w:styleId="C18">
    <w:name w:val="Plain Text Char"/>
    <w:link w:val="P49"/>
    <w:rPr>
      <w:rFonts w:ascii="Courier New" w:hAnsi="Courier New"/>
      <w:sz w:val="20"/>
      <w:lang w:val="en-US" w:eastAsia="en-US"/>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2022-03-28T13:31:00Z</dcterms:created>
  <cp:lastModifiedBy>Ray</cp:lastModifiedBy>
  <cp:lastPrinted>2006-08-29T21:34:00Z</cp:lastPrinted>
  <dcterms:modified xsi:type="dcterms:W3CDTF">2022-10-04T19:38:52Z</dcterms:modified>
  <cp:revision>8</cp:revision>
  <dc:title>10420_Fire_Extinguishers_and_Safety_Equipment (Apr 7,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URL">
    <vt:lpwstr/>
  </property>
  <property fmtid="{D5CDD505-2E9C-101B-9397-08002B2CF9AE}" pid="4" name="ContentTypeId">
    <vt:lpwstr>0x01010069F33AF97BEDA443B34B2276A31F1843</vt:lpwstr>
  </property>
  <property fmtid="{D5CDD505-2E9C-101B-9397-08002B2CF9AE}" pid="5" name="Order">
    <vt:r8>206300</vt:r8>
  </property>
  <property fmtid="{D5CDD505-2E9C-101B-9397-08002B2CF9AE}" pid="6" name="xd_Signature">
    <vt:bool>false</vt:bool>
  </property>
  <property fmtid="{D5CDD505-2E9C-101B-9397-08002B2CF9AE}" pid="7" name="xd_ProgID">
    <vt:lpwstr/>
  </property>
  <property fmtid="{D5CDD505-2E9C-101B-9397-08002B2CF9AE}" pid="8" name="_ExtendedDescription">
    <vt:lpwstr/>
  </property>
  <property fmtid="{D5CDD505-2E9C-101B-9397-08002B2CF9AE}" pid="9" name="TriggerFlowInfo">
    <vt:lpwstr/>
  </property>
  <property fmtid="{D5CDD505-2E9C-101B-9397-08002B2CF9AE}" pid="10" name="ComplianceAssetId">
    <vt:lpwstr/>
  </property>
  <property fmtid="{D5CDD505-2E9C-101B-9397-08002B2CF9AE}" pid="11" name="TemplateUrl">
    <vt:lpwstr/>
  </property>
</Properties>
</file>