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143F996" Type="http://schemas.openxmlformats.org/officeDocument/2006/relationships/officeDocument" Target="/word/document.xml" /><Relationship Id="coreR2143F996" Type="http://schemas.openxmlformats.org/package/2006/relationships/metadata/core-properties" Target="/docProps/core.xml" /><Relationship Id="customR2143F9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w:t>
      </w:r>
      <w:r>
        <w:rPr>
          <w:rFonts w:ascii="Calibri" w:hAnsi="Calibri"/>
          <w:b w:val="1"/>
          <w:highlight w:val="yellow"/>
        </w:rPr>
        <w:t>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6"/>
      </w:pPr>
      <w:r>
        <w:br w:type="page"/>
        <w:t>GENERAL</w:t>
      </w:r>
    </w:p>
    <w:p>
      <w:pPr>
        <w:pStyle w:val="P37"/>
      </w:pPr>
      <w:r>
        <w:t>General</w:t>
      </w:r>
    </w:p>
    <w:p>
      <w:pPr>
        <w:pStyle w:val="P38"/>
      </w:pPr>
      <w:r>
        <w:t>This specification defines the requirements for differential pressure transmitters for absolute pressure, gauge pressure, differential pressure and liquid level applications.</w:t>
      </w:r>
    </w:p>
    <w:p>
      <w:pPr>
        <w:pStyle w:val="P38"/>
      </w:pPr>
      <w:bookmarkStart w:id="0" w:name="_Toc16561601"/>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8"/>
      </w:pPr>
      <w:r>
        <w:t>The contractor is to clearly identify on the shop drawings any deviation from the specification.</w:t>
      </w:r>
    </w:p>
    <w:p>
      <w:pPr>
        <w:pStyle w:val="P38"/>
      </w:pPr>
      <w:r>
        <w:t xml:space="preserve">Contractor required to provide the following O&amp;M documentation:  manufacturers’ printed recommendations; installation instructions; specifications; operation manuals, including electrical drawings, and plumbing diagrams; sales literature; materials; and training materials as applicable.</w:t>
      </w:r>
    </w:p>
    <w:p>
      <w:pPr>
        <w:pStyle w:val="P38"/>
      </w:pPr>
      <w:r>
        <w:t>Contractor is to furnish copies of the manufacturer’s warranties.</w:t>
      </w:r>
    </w:p>
    <w:p>
      <w:pPr>
        <w:pStyle w:val="P38"/>
      </w:pPr>
      <w:r>
        <w:t xml:space="preserve">Contractor is to provide, through the Instrumentation Supplier, differential pressure transmitters, complete and operable, in accordance with the Contract Documents.  </w:t>
      </w:r>
    </w:p>
    <w:p>
      <w:pPr>
        <w:pStyle w:val="P37"/>
      </w:pPr>
      <w:r>
        <w:t>Measurement and Payment</w:t>
      </w:r>
    </w:p>
    <w:p>
      <w:pPr>
        <w:pStyle w:val="P38"/>
      </w:pPr>
      <w:r>
        <w:t>The work outlined in this section shall be included in the lump sum price for Section 13140 – Differential Pressure Transmitter as indicated in the Bid Form.</w:t>
      </w:r>
    </w:p>
    <w:p>
      <w:pPr>
        <w:pStyle w:val="P37"/>
      </w:pPr>
      <w:bookmarkEnd w:id="0"/>
      <w:bookmarkStart w:id="1" w:name="_Toc16561602"/>
      <w:r>
        <w:t>Sensor</w:t>
      </w:r>
      <w:bookmarkEnd w:id="1"/>
    </w:p>
    <w:p>
      <w:pPr>
        <w:pStyle w:val="P38"/>
      </w:pPr>
      <w:r>
        <w:t>Dual sensing ports connect to pressure source and atmosphere for pressure, and to two pressure sources (high - low) for differential pressure.</w:t>
      </w:r>
    </w:p>
    <w:p>
      <w:pPr>
        <w:pStyle w:val="P38"/>
      </w:pPr>
      <w:r>
        <w:t>Electrical connections: 1/2 inch - 14 NPT weather proof conduit</w:t>
      </w:r>
    </w:p>
    <w:p>
      <w:pPr>
        <w:pStyle w:val="P38"/>
      </w:pPr>
      <w:r>
        <w:t>Process connections: 1/4 inch - 18 NPT on flanges, 1/2 inch NPT on adapters</w:t>
      </w:r>
    </w:p>
    <w:p>
      <w:pPr>
        <w:pStyle w:val="P37"/>
      </w:pPr>
      <w:bookmarkStart w:id="2" w:name="_Toc16561603"/>
      <w:r>
        <w:t>Transmitter</w:t>
      </w:r>
      <w:bookmarkEnd w:id="2"/>
    </w:p>
    <w:p>
      <w:pPr>
        <w:pStyle w:val="P38"/>
      </w:pPr>
      <w:r>
        <w:t>Provide operating range between 40 percent and 80 percent of maximum adjustable range.</w:t>
      </w:r>
    </w:p>
    <w:p>
      <w:pPr>
        <w:pStyle w:val="P38"/>
      </w:pPr>
      <w:r>
        <w:t>Explosion proof (hazardous area) rated instrument enclosure may be required depending upon installation location.</w:t>
      </w:r>
    </w:p>
    <w:p>
      <w:pPr>
        <w:pStyle w:val="P38"/>
      </w:pPr>
      <w:r>
        <w:t xml:space="preserve">Equipment tag wired to transmitter in accordance with </w:t>
      </w:r>
      <w:r>
        <w:rPr>
          <w:highlight w:val="yellow"/>
        </w:rPr>
        <w:t>Section 01080 – Process Equipment Location Tagging</w:t>
      </w:r>
      <w:r>
        <w:t>.</w:t>
      </w:r>
    </w:p>
    <w:p>
      <w:pPr>
        <w:pStyle w:val="P36"/>
      </w:pPr>
      <w:bookmarkStart w:id="3" w:name="_Toc15372463"/>
      <w:bookmarkStart w:id="4" w:name="_Toc16561604"/>
      <w:r>
        <w:t>INSTALLATION</w:t>
      </w:r>
      <w:bookmarkEnd w:id="3"/>
      <w:bookmarkEnd w:id="4"/>
    </w:p>
    <w:p>
      <w:pPr>
        <w:pStyle w:val="P37"/>
      </w:pPr>
      <w:bookmarkStart w:id="5" w:name="_Toc15372464"/>
      <w:bookmarkStart w:id="6" w:name="_Toc16561605"/>
      <w:r>
        <w:t>General</w:t>
      </w:r>
      <w:bookmarkEnd w:id="5"/>
      <w:bookmarkEnd w:id="6"/>
    </w:p>
    <w:p>
      <w:pPr>
        <w:pStyle w:val="P38"/>
      </w:pPr>
      <w:r>
        <w:t>The following installation requirements are in addition to or deviations from the requirements set forth for instrumentation in Section 13105 – Process Control: General Instrumentation Standard.</w:t>
      </w:r>
    </w:p>
    <w:p>
      <w:pPr>
        <w:pStyle w:val="P39"/>
      </w:pPr>
      <w:r>
        <w:t>Provide universal mounting bracket for handrail, vertical surface, for 50 mm (2 inch) pipe.</w:t>
      </w:r>
    </w:p>
    <w:p>
      <w:pPr>
        <w:pStyle w:val="P39"/>
      </w:pPr>
      <w:r>
        <w:t>Provide stainless steel valve manifold assembly with line shutoff valves for pressure, c/w calibration port.</w:t>
      </w:r>
    </w:p>
    <w:p>
      <w:pPr>
        <w:pStyle w:val="P39"/>
      </w:pPr>
      <w:r>
        <w:t>Provide stainless steel valve manifold assembly with line shutoff valves and line drain/vent valve for differential pressure, c/w calibration port.</w:t>
      </w:r>
    </w:p>
    <w:p>
      <w:pPr>
        <w:pStyle w:val="P39"/>
      </w:pPr>
      <w:r>
        <w:t>For direct mount to process, stainless steel valve manifold to be provided for mounting to the orifice flanges.</w:t>
      </w:r>
    </w:p>
    <w:p>
      <w:pPr>
        <w:pStyle w:val="P39"/>
      </w:pPr>
      <w:r>
        <w:t>For flange mounting, manufacturer flange mounted diaphragm to be used.</w:t>
      </w:r>
    </w:p>
    <w:p>
      <w:pPr>
        <w:pStyle w:val="P39"/>
      </w:pPr>
      <w:r>
        <w:t>Differential pressure transmitters for surge tanks are to always be flange mounted.</w:t>
      </w:r>
    </w:p>
    <w:p>
      <w:pPr>
        <w:pStyle w:val="P39"/>
      </w:pPr>
      <w:r>
        <w:t>When routing conduit avoid areas subject to chemical o physical abuse and areas with high EMI/RFI conditions.</w:t>
      </w:r>
    </w:p>
    <w:p>
      <w:pPr>
        <w:pStyle w:val="P39"/>
      </w:pPr>
      <w:r>
        <w:t>Transmitter unit is to be mounted at 1.8m off the floor in a readily accessible location for ease of reading and to facilitate maintenance and calibration.</w:t>
      </w:r>
    </w:p>
    <w:p>
      <w:pPr>
        <w:pStyle w:val="P39"/>
      </w:pPr>
      <w:r>
        <w:t>Locate transmitter with adequate clearance and accessibility for service.</w:t>
      </w:r>
    </w:p>
    <w:p>
      <w:pPr>
        <w:pStyle w:val="P39"/>
      </w:pPr>
      <w:r>
        <w:t>Locate transmitter as close as possible to the process connection.</w:t>
      </w:r>
    </w:p>
    <w:p>
      <w:pPr>
        <w:pStyle w:val="P39"/>
      </w:pPr>
      <w:r>
        <w:t>Ground the transmitter through a 16AWG or larger copper wire from transmitter grounding screw to a low resistance ground.</w:t>
      </w:r>
    </w:p>
    <w:p>
      <w:pPr>
        <w:pStyle w:val="P39"/>
      </w:pPr>
      <w:r>
        <w:t>Any zero shift due to mounting position to be calibrated out.</w:t>
      </w:r>
    </w:p>
    <w:p>
      <w:pPr>
        <w:pStyle w:val="P39"/>
      </w:pPr>
      <w:r>
        <w:t>Connect unit to liquid process lines horizontally. Slope lines 8 cm/meter (1 in/foot) downward to allow gas bubbles to bleed back to the process line.</w:t>
      </w:r>
    </w:p>
    <w:p>
      <w:pPr>
        <w:pStyle w:val="P39"/>
      </w:pPr>
      <w:r>
        <w:t>Connect unit to gaseous process lines at the top of pipes or tanks to minimize moisture or solids entry to sensing line.</w:t>
      </w:r>
    </w:p>
    <w:p>
      <w:pPr>
        <w:pStyle w:val="P39"/>
      </w:pPr>
      <w:r>
        <w:t>Provide for air or water flushing lines where contaminant fouling may occur.</w:t>
      </w:r>
    </w:p>
    <w:p>
      <w:pPr>
        <w:pStyle w:val="P39"/>
      </w:pPr>
      <w:r>
        <w:t>Provide filled diaphragm seals for severe process fluids where contamination or fouling will occur.</w:t>
      </w:r>
    </w:p>
    <w:p>
      <w:pPr>
        <w:pStyle w:val="P39"/>
      </w:pPr>
      <w:r>
        <w:t>5-way block and bleed manifold to be utilized for installation.</w:t>
      </w:r>
    </w:p>
    <w:p>
      <w:pPr>
        <w:pStyle w:val="P39"/>
      </w:pPr>
      <w:r>
        <w:t>Provide a local pressure gauge for gauge pressure and absolute pressure applications.</w:t>
      </w:r>
    </w:p>
    <w:p>
      <w:pPr>
        <w:pStyle w:val="P39"/>
      </w:pPr>
      <w:r>
        <w:t>Provide a local pressure gauge at the high-pressure tap and a local pressure gauge at the low-pressure tap on differential pressure applications.</w:t>
      </w:r>
    </w:p>
    <w:p>
      <w:pPr>
        <w:pStyle w:val="P36"/>
      </w:pPr>
      <w:bookmarkStart w:id="7" w:name="_Toc16568127"/>
      <w:bookmarkStart w:id="8" w:name="_Toc16561606"/>
      <w:r>
        <w:t>ACCEPTABLE MANUFACTURERS</w:t>
      </w:r>
      <w:bookmarkEnd w:id="7"/>
    </w:p>
    <w:p>
      <w:pPr>
        <w:pStyle w:val="P38"/>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8"/>
        <w:numPr>
          <w:ilvl w:val="2"/>
          <w:numId w:val="0"/>
        </w:numPr>
        <w:ind w:left="720"/>
      </w:pPr>
    </w:p>
    <w:tbl>
      <w:tblPr>
        <w:tblStyle w:val="T2"/>
        <w:tblW w:w="0" w:type="auto"/>
        <w:tblInd w:w="153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155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tabs>
                <w:tab w:val="left" w:pos="5040" w:leader="none"/>
              </w:tabs>
              <w:outlineLvl w:val="3"/>
              <w:rPr>
                <w:rFonts w:ascii="Calibri" w:hAnsi="Calibri"/>
                <w:b w:val="1"/>
              </w:rPr>
            </w:pPr>
            <w:r>
              <w:rPr>
                <w:rFonts w:ascii="Calibri" w:hAnsi="Calibri"/>
                <w:b w:val="1"/>
              </w:rPr>
              <w:t>Pr</w:t>
            </w:r>
            <w:r>
              <w:rPr>
                <w:rFonts w:ascii="Calibri" w:hAnsi="Calibri"/>
                <w:b w:val="1"/>
              </w:rPr>
              <w:t>eference</w:t>
            </w:r>
          </w:p>
        </w:tc>
        <w:tc>
          <w:tcPr>
            <w:tcW w:w="1984"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tabs>
                <w:tab w:val="left" w:pos="5040" w:leader="none"/>
              </w:tabs>
              <w:outlineLvl w:val="3"/>
              <w:rPr>
                <w:rFonts w:ascii="Calibri" w:hAnsi="Calibri"/>
                <w:b w:val="1"/>
              </w:rPr>
            </w:pPr>
            <w:r>
              <w:rPr>
                <w:rFonts w:ascii="Calibri" w:hAnsi="Calibri"/>
                <w:b w:val="1"/>
              </w:rPr>
              <w:t>Manufacturer</w:t>
            </w:r>
          </w:p>
        </w:tc>
        <w:tc>
          <w:tcPr>
            <w:tcW w:w="1984"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tabs>
                <w:tab w:val="left" w:pos="5040" w:leader="none"/>
              </w:tabs>
              <w:outlineLvl w:val="3"/>
              <w:rPr>
                <w:rFonts w:ascii="Calibri" w:hAnsi="Calibri"/>
                <w:b w:val="1"/>
              </w:rPr>
            </w:pPr>
            <w:r>
              <w:rPr>
                <w:rFonts w:ascii="Calibri" w:hAnsi="Calibri"/>
                <w:b w:val="1"/>
              </w:rPr>
              <w:t>Model</w:t>
            </w:r>
          </w:p>
        </w:tc>
      </w:tr>
      <w:tr>
        <w:trPr>
          <w:wAfter w:w="0" w:type="dxa"/>
        </w:trPr>
        <w:tc>
          <w:tcPr>
            <w:tcW w:w="1559" w:type="dxa"/>
            <w:tcBorders>
              <w:top w:val="single" w:sz="18" w:space="0" w:shadow="0" w:frame="0" w:color="000000"/>
            </w:tcBorders>
          </w:tcPr>
          <w:p>
            <w:pPr>
              <w:tabs>
                <w:tab w:val="left" w:pos="5040" w:leader="none"/>
              </w:tabs>
              <w:outlineLvl w:val="3"/>
              <w:rPr>
                <w:rFonts w:ascii="Calibri" w:hAnsi="Calibri"/>
              </w:rPr>
            </w:pPr>
            <w:r>
              <w:rPr>
                <w:rFonts w:ascii="Calibri" w:hAnsi="Calibri"/>
              </w:rPr>
              <w:t>1</w:t>
            </w:r>
          </w:p>
        </w:tc>
        <w:tc>
          <w:tcPr>
            <w:tcW w:w="1984" w:type="dxa"/>
            <w:tcBorders>
              <w:top w:val="single" w:sz="18" w:space="0" w:shadow="0" w:frame="0" w:color="000000"/>
            </w:tcBorders>
          </w:tcPr>
          <w:p>
            <w:pPr>
              <w:tabs>
                <w:tab w:val="left" w:pos="5040" w:leader="none"/>
              </w:tabs>
              <w:outlineLvl w:val="3"/>
              <w:rPr>
                <w:rFonts w:ascii="Calibri" w:hAnsi="Calibri"/>
              </w:rPr>
            </w:pPr>
            <w:r>
              <w:rPr>
                <w:rFonts w:ascii="Calibri" w:hAnsi="Calibri"/>
              </w:rPr>
              <w:t>Endress+Hauser</w:t>
            </w:r>
          </w:p>
        </w:tc>
        <w:tc>
          <w:tcPr>
            <w:tcW w:w="1984" w:type="dxa"/>
            <w:tcBorders>
              <w:top w:val="single" w:sz="18" w:space="0" w:shadow="0" w:frame="0" w:color="000000"/>
            </w:tcBorders>
          </w:tcPr>
          <w:p>
            <w:pPr>
              <w:tabs>
                <w:tab w:val="left" w:pos="5040" w:leader="none"/>
              </w:tabs>
              <w:outlineLvl w:val="3"/>
              <w:rPr>
                <w:rFonts w:ascii="Calibri" w:hAnsi="Calibri"/>
              </w:rPr>
            </w:pPr>
            <w:r>
              <w:rPr>
                <w:rFonts w:ascii="Calibri" w:hAnsi="Calibri"/>
              </w:rPr>
              <w:t>Deltabar S</w:t>
            </w:r>
          </w:p>
        </w:tc>
      </w:tr>
      <w:tr>
        <w:trPr>
          <w:wAfter w:w="0" w:type="dxa"/>
        </w:trPr>
        <w:tc>
          <w:tcPr>
            <w:tcW w:w="1559" w:type="dxa"/>
          </w:tcPr>
          <w:p>
            <w:pPr>
              <w:tabs>
                <w:tab w:val="left" w:pos="5040" w:leader="none"/>
              </w:tabs>
              <w:outlineLvl w:val="3"/>
              <w:rPr>
                <w:rFonts w:ascii="Calibri" w:hAnsi="Calibri"/>
              </w:rPr>
            </w:pPr>
            <w:r>
              <w:rPr>
                <w:rFonts w:ascii="Calibri" w:hAnsi="Calibri"/>
              </w:rPr>
              <w:t>2</w:t>
            </w:r>
          </w:p>
        </w:tc>
        <w:tc>
          <w:tcPr>
            <w:tcW w:w="1984" w:type="dxa"/>
          </w:tcPr>
          <w:p>
            <w:pPr>
              <w:tabs>
                <w:tab w:val="left" w:pos="5040" w:leader="none"/>
              </w:tabs>
              <w:outlineLvl w:val="3"/>
              <w:rPr>
                <w:rFonts w:ascii="Calibri" w:hAnsi="Calibri"/>
              </w:rPr>
            </w:pPr>
            <w:r>
              <w:rPr>
                <w:rFonts w:ascii="Calibri" w:hAnsi="Calibri"/>
              </w:rPr>
              <w:t>Siemens</w:t>
            </w:r>
          </w:p>
        </w:tc>
        <w:tc>
          <w:tcPr>
            <w:tcW w:w="1984" w:type="dxa"/>
          </w:tcPr>
          <w:p>
            <w:pPr>
              <w:tabs>
                <w:tab w:val="left" w:pos="5040" w:leader="none"/>
              </w:tabs>
              <w:outlineLvl w:val="3"/>
              <w:rPr>
                <w:rFonts w:ascii="Calibri" w:hAnsi="Calibri"/>
              </w:rPr>
            </w:pPr>
            <w:r>
              <w:rPr>
                <w:rFonts w:ascii="Calibri" w:hAnsi="Calibri"/>
              </w:rPr>
              <w:t>7MF4433</w:t>
            </w:r>
          </w:p>
        </w:tc>
      </w:tr>
      <w:tr>
        <w:trPr>
          <w:wAfter w:w="0" w:type="dxa"/>
        </w:trPr>
        <w:tc>
          <w:tcPr>
            <w:tcW w:w="1559" w:type="dxa"/>
          </w:tcPr>
          <w:p>
            <w:pPr>
              <w:tabs>
                <w:tab w:val="left" w:pos="5040" w:leader="none"/>
              </w:tabs>
              <w:outlineLvl w:val="3"/>
              <w:rPr>
                <w:rFonts w:ascii="Calibri" w:hAnsi="Calibri"/>
              </w:rPr>
            </w:pPr>
            <w:r>
              <w:rPr>
                <w:rFonts w:ascii="Calibri" w:hAnsi="Calibri"/>
              </w:rPr>
              <w:t>3</w:t>
            </w:r>
          </w:p>
        </w:tc>
        <w:tc>
          <w:tcPr>
            <w:tcW w:w="1984" w:type="dxa"/>
          </w:tcPr>
          <w:p>
            <w:pPr>
              <w:tabs>
                <w:tab w:val="left" w:pos="5040" w:leader="none"/>
              </w:tabs>
              <w:outlineLvl w:val="3"/>
              <w:rPr>
                <w:rFonts w:ascii="Calibri" w:hAnsi="Calibri"/>
              </w:rPr>
            </w:pPr>
          </w:p>
        </w:tc>
        <w:tc>
          <w:tcPr>
            <w:tcW w:w="1984" w:type="dxa"/>
          </w:tcPr>
          <w:p>
            <w:pPr>
              <w:tabs>
                <w:tab w:val="left" w:pos="5040" w:leader="none"/>
              </w:tabs>
              <w:outlineLvl w:val="3"/>
              <w:rPr>
                <w:rFonts w:ascii="Calibri" w:hAnsi="Calibri"/>
              </w:rPr>
            </w:pPr>
          </w:p>
        </w:tc>
      </w:tr>
    </w:tbl>
    <w:p>
      <w:pPr>
        <w:pStyle w:val="P38"/>
      </w:pPr>
      <w:bookmarkEnd w:id="8"/>
      <w:bookmarkStart w:id="9" w:name="_Toc16561607"/>
      <w:r>
        <w:t>The Contractor is to select the appropriate options to suit the application and the requirements of the specification.</w:t>
      </w:r>
    </w:p>
    <w:p>
      <w:pPr>
        <w:pStyle w:val="P38"/>
      </w:pPr>
      <w:r>
        <w:t>Where second and third named manufacturers are provided, they are to meet the performance specifications of the first named manufacturer.</w:t>
      </w:r>
    </w:p>
    <w:p>
      <w:pPr>
        <w:pStyle w:val="P37"/>
        <w:numPr>
          <w:ilvl w:val="1"/>
          <w:numId w:val="20"/>
        </w:numPr>
      </w:pPr>
      <w:r>
        <w:br w:type="page"/>
        <w:t>Differential Pressure Transmitter</w:t>
      </w:r>
      <w:bookmarkEnd w:id="9"/>
    </w:p>
    <w:p>
      <w:pPr>
        <w:pStyle w:val="P4"/>
        <w:rPr>
          <w:rFonts w:ascii="Calibri" w:hAnsi="Calibri"/>
        </w:rPr>
      </w:pPr>
      <w:r>
        <w:rPr>
          <w:rFonts w:ascii="Calibri" w:hAnsi="Calibri"/>
        </w:rPr>
        <w:t>First Named Manufacturer:</w:t>
      </w:r>
    </w:p>
    <w:tbl>
      <w:tblPr>
        <w:tblStyle w:val="T2"/>
        <w:tblW w:w="9216"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3744"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Service:</w:t>
            </w:r>
          </w:p>
        </w:tc>
        <w:tc>
          <w:tcPr>
            <w:tcW w:w="5472"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Water</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w:t>
            </w:r>
          </w:p>
        </w:tc>
        <w:tc>
          <w:tcPr>
            <w:tcW w:w="5472"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Tag Name:</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xxx-xxx</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13140x</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Fluid:</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Temp min/max:</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0-25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Press min/max:</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0 - 500 kPa</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Device Data:</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Approval:</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Combined Certificates: CSA IS and XP Class I Division 1, Groups A-D</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Operation:</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4 to 20 mA HART, SIL Operation Outside, LCD</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Housing; Cable Entry; Protection:</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Aluminum T14 Housing, Optional Display on the Side, IP 66/67/NEMA 4X/6P, Thread ½ NPT</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Nominal Range; PN:</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3bar/300kPa/45psi</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Calibration; Unit:</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Customer Specified</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Process Isolating Diaphragm Material:</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Alloy C</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Process Connection; Material:</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¼ - 18 NPT IEC 61518, Mounting; 7/16 – 20 UNF, AISI 316L (CRN), Including 2 Vent Valves (AISI 316L)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Seal:</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PTFE</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Additional Option 1:</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Not Selected</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Additional Option 2:</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Mounting Bracket for Wall/Pipe, AISI 304</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color w:val="000000"/>
              </w:rPr>
              <w:t>Manufacturer:</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E+H</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highlight w:val="yellow"/>
              </w:rPr>
            </w:pPr>
            <w:r>
              <w:rPr>
                <w:rFonts w:ascii="Calibri" w:hAnsi="Calibri"/>
                <w:color w:val="000000"/>
              </w:rPr>
              <w:t>Part Number:</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PMD75-DAC</w:t>
            </w:r>
            <w:r>
              <w:rPr>
                <w:rFonts w:ascii="Calibri" w:hAnsi="Calibri"/>
                <w:color w:val="000000"/>
                <w:highlight w:val="yellow"/>
              </w:rPr>
              <w:t>7H</w:t>
            </w:r>
            <w:r>
              <w:rPr>
                <w:rFonts w:ascii="Calibri" w:hAnsi="Calibri"/>
                <w:color w:val="000000"/>
              </w:rPr>
              <w:t>B</w:t>
            </w:r>
            <w:r>
              <w:rPr>
                <w:rFonts w:ascii="Calibri" w:hAnsi="Calibri"/>
                <w:color w:val="000000"/>
                <w:highlight w:val="yellow"/>
              </w:rPr>
              <w:t>2</w:t>
            </w:r>
            <w:r>
              <w:rPr>
                <w:rFonts w:ascii="Calibri" w:hAnsi="Calibri"/>
                <w:color w:val="000000"/>
              </w:rPr>
              <w:t>D</w:t>
            </w:r>
            <w:r>
              <w:rPr>
                <w:rFonts w:ascii="Calibri" w:hAnsi="Calibri"/>
                <w:color w:val="000000"/>
                <w:highlight w:val="yellow"/>
              </w:rPr>
              <w:t>CAU</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u w:val="single"/>
              </w:rPr>
              <w:t>Accessories:</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atLeast" w:val="20"/>
        </w:trPr>
        <w:tc>
          <w:tcPr>
            <w:tcW w:w="3744" w:type="dxa"/>
            <w:tcBorders>
              <w:top w:val="single" w:sz="6" w:space="0" w:shadow="0" w:frame="0"/>
              <w:bottom w:val="doub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rPr>
              <w:t>3-Way Manifold:</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4201439</w:t>
            </w:r>
          </w:p>
        </w:tc>
      </w:tr>
    </w:tbl>
    <w:p>
      <w:pPr>
        <w:pStyle w:val="P4"/>
        <w:rPr>
          <w:rFonts w:ascii="Calibri" w:hAnsi="Calibri"/>
          <w:highlight w:val="yellow"/>
        </w:rPr>
      </w:pPr>
      <w:r>
        <w:rPr>
          <w:rFonts w:ascii="Calibri" w:hAnsi="Calibri"/>
          <w:highlight w:val="yellow"/>
        </w:rPr>
        <w:br w:type="page"/>
      </w:r>
      <w:r>
        <w:rPr>
          <w:rFonts w:ascii="Calibri" w:hAnsi="Calibri"/>
        </w:rPr>
        <w:t>Second Named Manufacturer:</w:t>
      </w:r>
    </w:p>
    <w:tbl>
      <w:tblPr>
        <w:tblStyle w:val="T2"/>
        <w:tblW w:w="9216"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3744" w:type="dxa"/>
            <w:tcBorders>
              <w:top w:val="doub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Service:</w:t>
            </w:r>
          </w:p>
        </w:tc>
        <w:tc>
          <w:tcPr>
            <w:tcW w:w="5472" w:type="dxa"/>
            <w:vAlign w:val="center"/>
          </w:tcPr>
          <w:p>
            <w:pPr>
              <w:pStyle w:val="P24"/>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color w:val="000000"/>
                <w:sz w:val="22"/>
                <w:highlight w:val="yellow"/>
              </w:rPr>
            </w:pPr>
            <w:r>
              <w:rPr>
                <w:rFonts w:ascii="Calibri" w:hAnsi="Calibri"/>
                <w:color w:val="000000"/>
                <w:sz w:val="22"/>
                <w:highlight w:val="yellow"/>
              </w:rPr>
              <w:t>Water</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Process:</w:t>
            </w:r>
          </w:p>
        </w:tc>
        <w:tc>
          <w:tcPr>
            <w:tcW w:w="5472" w:type="dxa"/>
            <w:vAlign w:val="center"/>
          </w:tcPr>
          <w:p>
            <w:pPr>
              <w:jc w:val="center"/>
              <w:rPr>
                <w:rFonts w:ascii="Calibri" w:hAnsi="Calibri"/>
                <w:color w:val="000000"/>
                <w:highlight w:val="yellow"/>
              </w:rPr>
            </w:pP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Tag name:</w:t>
            </w:r>
          </w:p>
        </w:tc>
        <w:tc>
          <w:tcPr>
            <w:tcW w:w="5472"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5472"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13140x</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Fluid:</w:t>
            </w:r>
          </w:p>
        </w:tc>
        <w:tc>
          <w:tcPr>
            <w:tcW w:w="5472" w:type="dxa"/>
            <w:vAlign w:val="center"/>
          </w:tcPr>
          <w:p>
            <w:pPr>
              <w:jc w:val="center"/>
              <w:rPr>
                <w:rFonts w:ascii="Calibri" w:hAnsi="Calibri"/>
                <w:color w:val="000000"/>
                <w:highlight w:val="yellow"/>
              </w:rPr>
            </w:pPr>
            <w:r>
              <w:rPr>
                <w:rFonts w:ascii="Calibri" w:hAnsi="Calibri"/>
                <w:color w:val="000000"/>
                <w:highlight w:val="yellow"/>
              </w:rPr>
              <w:t>Water</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Temp min/max:</w:t>
            </w:r>
          </w:p>
        </w:tc>
        <w:tc>
          <w:tcPr>
            <w:tcW w:w="5472" w:type="dxa"/>
            <w:vAlign w:val="center"/>
          </w:tcPr>
          <w:p>
            <w:pPr>
              <w:jc w:val="center"/>
              <w:rPr>
                <w:rFonts w:ascii="Calibri" w:hAnsi="Calibri"/>
                <w:color w:val="000000"/>
                <w:highlight w:val="yellow"/>
              </w:rPr>
            </w:pPr>
            <w:r>
              <w:rPr>
                <w:rFonts w:ascii="Calibri" w:hAnsi="Calibri"/>
                <w:color w:val="000000"/>
                <w:highlight w:val="yellow"/>
              </w:rPr>
              <w:t xml:space="preserve">0 - 25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Press min/max:</w:t>
            </w:r>
          </w:p>
        </w:tc>
        <w:tc>
          <w:tcPr>
            <w:tcW w:w="5472" w:type="dxa"/>
            <w:vAlign w:val="center"/>
          </w:tcPr>
          <w:p>
            <w:pPr>
              <w:jc w:val="center"/>
              <w:rPr>
                <w:rFonts w:ascii="Calibri" w:hAnsi="Calibri"/>
                <w:color w:val="000000"/>
                <w:highlight w:val="yellow"/>
              </w:rPr>
            </w:pPr>
            <w:r>
              <w:rPr>
                <w:rFonts w:ascii="Calibri" w:hAnsi="Calibri"/>
                <w:color w:val="000000"/>
                <w:highlight w:val="yellow"/>
              </w:rPr>
              <w:t>0 - 100 kPa</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Diff. Range:</w:t>
            </w:r>
          </w:p>
        </w:tc>
        <w:tc>
          <w:tcPr>
            <w:tcW w:w="5472" w:type="dxa"/>
            <w:vAlign w:val="center"/>
          </w:tcPr>
          <w:p>
            <w:pPr>
              <w:jc w:val="center"/>
              <w:rPr>
                <w:rFonts w:ascii="Calibri" w:hAnsi="Calibri"/>
                <w:color w:val="000000"/>
                <w:highlight w:val="yellow"/>
              </w:rPr>
            </w:pPr>
            <w:r>
              <w:rPr>
                <w:rFonts w:ascii="Calibri" w:hAnsi="Calibri"/>
                <w:color w:val="000000"/>
                <w:highlight w:val="yellow"/>
              </w:rPr>
              <w:t>10 kPa max.</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Device Data</w:t>
            </w:r>
            <w:r>
              <w:rPr>
                <w:rFonts w:ascii="Calibri" w:hAnsi="Calibri"/>
                <w:b w:val="1"/>
                <w:color w:val="000000"/>
                <w:u w:val="single"/>
              </w:rPr>
              <w:t>:</w:t>
            </w:r>
          </w:p>
        </w:tc>
        <w:tc>
          <w:tcPr>
            <w:tcW w:w="5472" w:type="dxa"/>
            <w:vAlign w:val="center"/>
          </w:tcPr>
          <w:p>
            <w:pPr>
              <w:jc w:val="center"/>
              <w:rPr>
                <w:rFonts w:ascii="Calibri" w:hAnsi="Calibri"/>
                <w:b w:val="1"/>
                <w:color w:val="000000"/>
                <w:highlight w:val="yellow"/>
              </w:rPr>
            </w:pP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Measuring Cell Filling:</w:t>
            </w:r>
          </w:p>
        </w:tc>
        <w:tc>
          <w:tcPr>
            <w:tcW w:w="5472" w:type="dxa"/>
            <w:vAlign w:val="center"/>
          </w:tcPr>
          <w:p>
            <w:pPr>
              <w:jc w:val="center"/>
              <w:rPr>
                <w:rFonts w:ascii="Calibri" w:hAnsi="Calibri"/>
                <w:color w:val="000000"/>
              </w:rPr>
            </w:pPr>
            <w:r>
              <w:rPr>
                <w:rFonts w:ascii="Calibri" w:hAnsi="Calibri"/>
                <w:color w:val="000000"/>
              </w:rPr>
              <w:t>Silicone Oil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Measuring Cell Cleaning:</w:t>
            </w:r>
          </w:p>
        </w:tc>
        <w:tc>
          <w:tcPr>
            <w:tcW w:w="5472" w:type="dxa"/>
            <w:vAlign w:val="center"/>
          </w:tcPr>
          <w:p>
            <w:pPr>
              <w:jc w:val="center"/>
              <w:rPr>
                <w:rFonts w:ascii="Calibri" w:hAnsi="Calibri"/>
                <w:color w:val="000000"/>
              </w:rPr>
            </w:pPr>
            <w:r>
              <w:rPr>
                <w:rFonts w:ascii="Calibri" w:hAnsi="Calibri"/>
                <w:color w:val="000000"/>
              </w:rPr>
              <w:t>Normal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Span:</w:t>
            </w:r>
          </w:p>
        </w:tc>
        <w:tc>
          <w:tcPr>
            <w:tcW w:w="5472" w:type="dxa"/>
            <w:vAlign w:val="center"/>
          </w:tcPr>
          <w:p>
            <w:pPr>
              <w:jc w:val="center"/>
              <w:rPr>
                <w:rFonts w:ascii="Calibri" w:hAnsi="Calibri"/>
                <w:color w:val="000000"/>
                <w:highlight w:val="yellow"/>
              </w:rPr>
            </w:pPr>
            <w:r>
              <w:rPr>
                <w:rFonts w:ascii="Calibri" w:hAnsi="Calibri"/>
                <w:color w:val="000000"/>
                <w:highlight w:val="yellow"/>
              </w:rPr>
              <w:t>6.4 to 640 inH</w:t>
            </w:r>
            <w:r>
              <w:rPr>
                <w:rFonts w:ascii="Calibri" w:hAnsi="Calibri"/>
                <w:color w:val="000000"/>
                <w:highlight w:val="yellow"/>
                <w:vertAlign w:val="subscript"/>
              </w:rPr>
              <w:t>2</w:t>
            </w:r>
            <w:r>
              <w:rPr>
                <w:rFonts w:ascii="Calibri" w:hAnsi="Calibri"/>
                <w:color w:val="000000"/>
                <w:highlight w:val="yellow"/>
              </w:rPr>
              <w:t>O</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Wetted Parts: Process Diaphragm Material:</w:t>
            </w:r>
          </w:p>
        </w:tc>
        <w:tc>
          <w:tcPr>
            <w:tcW w:w="5472" w:type="dxa"/>
            <w:vAlign w:val="center"/>
          </w:tcPr>
          <w:p>
            <w:pPr>
              <w:jc w:val="center"/>
              <w:rPr>
                <w:rFonts w:ascii="Calibri" w:hAnsi="Calibri"/>
                <w:color w:val="000000"/>
                <w:highlight w:val="yellow"/>
              </w:rPr>
            </w:pPr>
            <w:r>
              <w:rPr>
                <w:rFonts w:ascii="Calibri" w:hAnsi="Calibri"/>
                <w:color w:val="000000"/>
                <w:highlight w:val="yellow"/>
              </w:rPr>
              <w:t>Stainless Steel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Wetted Parts: Parts of the Measuring Cell Material:</w:t>
            </w:r>
          </w:p>
        </w:tc>
        <w:tc>
          <w:tcPr>
            <w:tcW w:w="5472" w:type="dxa"/>
            <w:vAlign w:val="center"/>
          </w:tcPr>
          <w:p>
            <w:pPr>
              <w:jc w:val="center"/>
              <w:rPr>
                <w:rFonts w:ascii="Calibri" w:hAnsi="Calibri"/>
                <w:color w:val="000000"/>
                <w:highlight w:val="yellow"/>
              </w:rPr>
            </w:pPr>
            <w:r>
              <w:rPr>
                <w:rFonts w:ascii="Calibri" w:hAnsi="Calibri"/>
                <w:color w:val="000000"/>
                <w:highlight w:val="yellow"/>
              </w:rPr>
              <w:t>Stainless Steel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Process Connection:</w:t>
            </w:r>
          </w:p>
        </w:tc>
        <w:tc>
          <w:tcPr>
            <w:tcW w:w="5472" w:type="dxa"/>
            <w:vAlign w:val="center"/>
          </w:tcPr>
          <w:p>
            <w:pPr>
              <w:jc w:val="center"/>
              <w:rPr>
                <w:rFonts w:ascii="Calibri" w:hAnsi="Calibri"/>
                <w:color w:val="000000"/>
                <w:highlight w:val="yellow"/>
              </w:rPr>
            </w:pPr>
            <w:r>
              <w:rPr>
                <w:rFonts w:ascii="Calibri" w:hAnsi="Calibri"/>
                <w:color w:val="000000"/>
              </w:rPr>
              <w:t>Female thread, ¼ -18 NPT and flange Connection acc to DIN 19 213; Venting Opposite Process Connection: Mounting Thread M10</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Non Wetted Parts: Process Flange Screws:</w:t>
            </w:r>
          </w:p>
        </w:tc>
        <w:tc>
          <w:tcPr>
            <w:tcW w:w="5472" w:type="dxa"/>
            <w:vAlign w:val="center"/>
          </w:tcPr>
          <w:p>
            <w:pPr>
              <w:jc w:val="center"/>
              <w:rPr>
                <w:rFonts w:ascii="Calibri" w:hAnsi="Calibri"/>
                <w:color w:val="000000"/>
              </w:rPr>
            </w:pPr>
            <w:r>
              <w:rPr>
                <w:rFonts w:ascii="Calibri" w:hAnsi="Calibri"/>
                <w:color w:val="000000"/>
              </w:rPr>
              <w:t>Stainless Steel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Non Wetted Parts: Electronics Housing:</w:t>
            </w:r>
          </w:p>
        </w:tc>
        <w:tc>
          <w:tcPr>
            <w:tcW w:w="5472" w:type="dxa"/>
            <w:vAlign w:val="center"/>
          </w:tcPr>
          <w:p>
            <w:pPr>
              <w:jc w:val="center"/>
              <w:rPr>
                <w:rFonts w:ascii="Calibri" w:hAnsi="Calibri"/>
                <w:color w:val="000000"/>
              </w:rPr>
            </w:pPr>
            <w:r>
              <w:rPr>
                <w:rFonts w:ascii="Calibri" w:hAnsi="Calibri"/>
                <w:color w:val="000000"/>
              </w:rPr>
              <w:t>Diecast Aluminum</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Version:</w:t>
            </w:r>
          </w:p>
        </w:tc>
        <w:tc>
          <w:tcPr>
            <w:tcW w:w="5472" w:type="dxa"/>
            <w:vAlign w:val="center"/>
          </w:tcPr>
          <w:p>
            <w:pPr>
              <w:jc w:val="center"/>
              <w:rPr>
                <w:rFonts w:ascii="Calibri" w:hAnsi="Calibri"/>
                <w:color w:val="000000"/>
                <w:highlight w:val="yellow"/>
              </w:rPr>
            </w:pPr>
            <w:r>
              <w:rPr>
                <w:rFonts w:ascii="Calibri" w:hAnsi="Calibri"/>
                <w:color w:val="000000"/>
              </w:rPr>
              <w:t>Standard Version</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Explosion Protection:</w:t>
            </w:r>
          </w:p>
        </w:tc>
        <w:tc>
          <w:tcPr>
            <w:tcW w:w="5472" w:type="dxa"/>
            <w:vAlign w:val="center"/>
          </w:tcPr>
          <w:p>
            <w:pPr>
              <w:jc w:val="center"/>
              <w:rPr>
                <w:rFonts w:ascii="Calibri" w:hAnsi="Calibri"/>
                <w:color w:val="000000"/>
                <w:highlight w:val="yellow"/>
              </w:rPr>
            </w:pPr>
            <w:r>
              <w:rPr>
                <w:rFonts w:ascii="Calibri" w:hAnsi="Calibri"/>
                <w:color w:val="000000"/>
              </w:rPr>
              <w:t>With Explosion Protection (FM + CSA for IS + XP)</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Electrical Connection/Cable Inlet:</w:t>
            </w:r>
          </w:p>
        </w:tc>
        <w:tc>
          <w:tcPr>
            <w:tcW w:w="5472" w:type="dxa"/>
            <w:vAlign w:val="center"/>
          </w:tcPr>
          <w:p>
            <w:pPr>
              <w:jc w:val="center"/>
              <w:rPr>
                <w:rFonts w:ascii="Calibri" w:hAnsi="Calibri"/>
                <w:color w:val="000000"/>
                <w:highlight w:val="yellow"/>
              </w:rPr>
            </w:pPr>
            <w:r>
              <w:rPr>
                <w:rFonts w:ascii="Calibri" w:hAnsi="Calibri"/>
                <w:color w:val="000000"/>
              </w:rPr>
              <w:t>Female Thread ½ - 14 NPT</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Housing Cover/Display:</w:t>
            </w:r>
          </w:p>
        </w:tc>
        <w:tc>
          <w:tcPr>
            <w:tcW w:w="5472" w:type="dxa"/>
            <w:vAlign w:val="center"/>
          </w:tcPr>
          <w:p>
            <w:pPr>
              <w:jc w:val="center"/>
              <w:rPr>
                <w:rFonts w:ascii="Calibri" w:hAnsi="Calibri"/>
                <w:color w:val="000000"/>
                <w:highlight w:val="yellow"/>
              </w:rPr>
            </w:pPr>
            <w:r>
              <w:rPr>
                <w:rFonts w:ascii="Calibri" w:hAnsi="Calibri"/>
                <w:color w:val="000000"/>
              </w:rPr>
              <w:t>With Window (Digital Display Visible, Setting: mA)</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rPr>
                <w:rFonts w:ascii="Calibri" w:hAnsi="Calibri"/>
                <w:color w:val="000000"/>
              </w:rPr>
            </w:pPr>
            <w:r>
              <w:rPr>
                <w:rFonts w:ascii="Calibri" w:hAnsi="Calibri"/>
                <w:color w:val="000000"/>
              </w:rPr>
              <w:t>Other Versions:</w:t>
            </w:r>
          </w:p>
        </w:tc>
        <w:tc>
          <w:tcPr>
            <w:tcW w:w="5472" w:type="dxa"/>
            <w:vAlign w:val="center"/>
          </w:tcPr>
          <w:p>
            <w:pPr>
              <w:jc w:val="center"/>
              <w:rPr>
                <w:rFonts w:ascii="Calibri" w:hAnsi="Calibri"/>
                <w:color w:val="000000"/>
                <w:highlight w:val="yellow"/>
              </w:rPr>
            </w:pP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Transmitter with Mounting Bracket of:</w:t>
            </w:r>
          </w:p>
        </w:tc>
        <w:tc>
          <w:tcPr>
            <w:tcW w:w="5472" w:type="dxa"/>
            <w:vAlign w:val="center"/>
          </w:tcPr>
          <w:p>
            <w:pPr>
              <w:jc w:val="center"/>
              <w:rPr>
                <w:rFonts w:ascii="Calibri" w:hAnsi="Calibri"/>
                <w:color w:val="000000"/>
                <w:highlight w:val="yellow"/>
              </w:rPr>
            </w:pPr>
            <w:r>
              <w:rPr>
                <w:rFonts w:ascii="Calibri" w:hAnsi="Calibri"/>
                <w:color w:val="000000"/>
              </w:rPr>
              <w:t>Stainless Steel</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rPr>
                <w:rFonts w:ascii="Calibri" w:hAnsi="Calibri"/>
                <w:color w:val="000000"/>
              </w:rPr>
            </w:pPr>
          </w:p>
        </w:tc>
        <w:tc>
          <w:tcPr>
            <w:tcW w:w="5472" w:type="dxa"/>
            <w:vAlign w:val="center"/>
          </w:tcPr>
          <w:p>
            <w:pPr>
              <w:jc w:val="center"/>
              <w:rPr>
                <w:rFonts w:ascii="Calibri" w:hAnsi="Calibri"/>
                <w:color w:val="000000"/>
                <w:highlight w:val="yellow"/>
              </w:rPr>
            </w:pPr>
            <w:r>
              <w:rPr>
                <w:rFonts w:ascii="Calibri" w:hAnsi="Calibri"/>
                <w:i w:val="1"/>
                <w:color w:val="000000"/>
                <w:highlight w:val="yellow"/>
              </w:rPr>
              <w:t>Additional added as necessar</w:t>
            </w:r>
            <w:r>
              <w:rPr>
                <w:rFonts w:ascii="Calibri" w:hAnsi="Calibri"/>
                <w:i w:val="1"/>
                <w:color w:val="000000"/>
                <w:highlight w:val="yellow"/>
              </w:rPr>
              <w:t>y</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5472" w:type="dxa"/>
            <w:vAlign w:val="center"/>
          </w:tcPr>
          <w:p>
            <w:pPr>
              <w:jc w:val="center"/>
              <w:rPr>
                <w:rFonts w:ascii="Calibri" w:hAnsi="Calibri"/>
                <w:color w:val="000000"/>
                <w:highlight w:val="yellow"/>
              </w:rPr>
            </w:pPr>
            <w:r>
              <w:rPr>
                <w:rFonts w:ascii="Calibri" w:hAnsi="Calibri"/>
                <w:color w:val="000000"/>
              </w:rPr>
              <w:t>Siemens</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5472" w:type="dxa"/>
            <w:vAlign w:val="center"/>
          </w:tcPr>
          <w:p>
            <w:pPr>
              <w:jc w:val="center"/>
              <w:rPr>
                <w:rFonts w:ascii="Calibri" w:hAnsi="Calibri"/>
                <w:color w:val="000000"/>
                <w:highlight w:val="yellow"/>
              </w:rPr>
            </w:pPr>
            <w:r>
              <w:rPr>
                <w:rFonts w:ascii="Calibri" w:hAnsi="Calibri"/>
                <w:color w:val="000000"/>
              </w:rPr>
              <w:t>7MF4433-1</w:t>
            </w:r>
            <w:r>
              <w:rPr>
                <w:rFonts w:ascii="Calibri" w:hAnsi="Calibri"/>
                <w:color w:val="000000"/>
                <w:highlight w:val="yellow"/>
              </w:rPr>
              <w:t>FA</w:t>
            </w:r>
            <w:r>
              <w:rPr>
                <w:rFonts w:ascii="Calibri" w:hAnsi="Calibri"/>
                <w:color w:val="000000"/>
              </w:rPr>
              <w:t>02-1NC6-Z-A02 –</w:t>
            </w:r>
            <w:r>
              <w:rPr>
                <w:rFonts w:ascii="Calibri" w:hAnsi="Calibri"/>
                <w:color w:val="000000"/>
                <w:highlight w:val="yellow"/>
              </w:rPr>
              <w:t>K36</w:t>
            </w:r>
          </w:p>
        </w:tc>
      </w:tr>
      <w:tr>
        <w:trPr>
          <w:wAfter w:w="0" w:type="dxa"/>
          <w:trHeight w:hRule="atLeast" w:val="20"/>
        </w:trPr>
        <w:tc>
          <w:tcPr>
            <w:tcW w:w="3744"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Accessories:</w:t>
            </w:r>
          </w:p>
        </w:tc>
        <w:tc>
          <w:tcPr>
            <w:tcW w:w="5472" w:type="dxa"/>
            <w:vAlign w:val="center"/>
          </w:tcPr>
          <w:p>
            <w:pPr>
              <w:jc w:val="center"/>
              <w:rPr>
                <w:rFonts w:ascii="Calibri" w:hAnsi="Calibri"/>
                <w:color w:val="000000"/>
                <w:highlight w:val="yellow"/>
              </w:rPr>
            </w:pPr>
          </w:p>
        </w:tc>
      </w:tr>
      <w:tr>
        <w:trPr>
          <w:wAfter w:w="0" w:type="dxa"/>
          <w:trHeight w:hRule="atLeast" w:val="20"/>
        </w:trPr>
        <w:tc>
          <w:tcPr>
            <w:tcW w:w="3744" w:type="dxa"/>
            <w:tcBorders>
              <w:top w:val="single" w:sz="6" w:space="0" w:shadow="0" w:frame="0"/>
              <w:bottom w:val="double" w:sz="6" w:space="0" w:shadow="0" w:frame="0"/>
            </w:tcBorders>
            <w:shd w:val="clear" w:color="auto" w:fill="E6E6E6"/>
            <w:vAlign w:val="center"/>
          </w:tcPr>
          <w:p>
            <w:pPr>
              <w:jc w:val="right"/>
              <w:rPr>
                <w:rFonts w:ascii="Calibri" w:hAnsi="Calibri"/>
                <w:color w:val="000000"/>
              </w:rPr>
            </w:pPr>
            <w:r>
              <w:rPr>
                <w:rFonts w:ascii="Calibri" w:hAnsi="Calibri"/>
              </w:rPr>
              <w:t>3-Way Manifold:</w:t>
            </w:r>
          </w:p>
        </w:tc>
        <w:tc>
          <w:tcPr>
            <w:tcW w:w="5472" w:type="dxa"/>
            <w:vAlign w:val="center"/>
          </w:tcPr>
          <w:p>
            <w:pPr>
              <w:jc w:val="center"/>
              <w:rPr>
                <w:rFonts w:ascii="Calibri" w:hAnsi="Calibri"/>
                <w:color w:val="000000"/>
                <w:highlight w:val="yellow"/>
              </w:rPr>
            </w:pPr>
            <w:r>
              <w:rPr>
                <w:rFonts w:ascii="Calibri" w:hAnsi="Calibri"/>
                <w:color w:val="000000"/>
              </w:rPr>
              <w:t>7MF9411-5BA-Z-</w:t>
            </w:r>
            <w:r>
              <w:rPr>
                <w:rFonts w:ascii="Calibri" w:hAnsi="Calibri"/>
                <w:color w:val="000000"/>
                <w:highlight w:val="yellow"/>
              </w:rPr>
              <w:t>K36</w:t>
            </w:r>
          </w:p>
        </w:tc>
      </w:tr>
    </w:tbl>
    <w:p>
      <w:pPr>
        <w:pStyle w:val="P20"/>
        <w:spacing w:before="240"/>
        <w:jc w:val="center"/>
        <w:rPr>
          <w:rFonts w:ascii="Calibri" w:hAnsi="Calibri"/>
          <w:b w:val="1"/>
          <w:sz w:val="22"/>
        </w:rPr>
      </w:pPr>
      <w:r>
        <w:rPr>
          <w:rFonts w:ascii="Calibri" w:hAnsi="Calibri"/>
          <w:b w:val="1"/>
          <w:sz w:val="22"/>
        </w:rPr>
        <w:t>END OF SECTION</w:t>
      </w:r>
    </w:p>
    <w:p>
      <w:pPr>
        <w:pStyle w:val="P20"/>
        <w:spacing w:before="240"/>
        <w:jc w:val="center"/>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DIFFERENTIAL PRESSURE TRANSMITTER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DIFFERENTIAL PRESSURE TRANSMITTER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13140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DIFFERENTIAL PRESSURE TRANSMITTER</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344BCDD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AE3627"/>
    <w:multiLevelType w:val="hybridMultilevel"/>
    <w:lvl w:ilvl="0">
      <w:start w:val="1"/>
      <w:numFmt w:val="decimal"/>
      <w:suff w:val="tab"/>
      <w:lvlText w:val=".%1"/>
      <w:lvlJc w:val="left"/>
      <w:pPr>
        <w:ind w:hanging="360" w:left="4613"/>
        <w:tabs>
          <w:tab w:val="left" w:pos="3173" w:leader="none"/>
        </w:tabs>
      </w:pPr>
      <w:rPr/>
    </w:lvl>
    <w:lvl w:ilvl="1" w:tplc="75B5D105">
      <w:start w:val="1"/>
      <w:numFmt w:val="bullet"/>
      <w:suff w:val="tab"/>
      <w:lvlText w:val="o"/>
      <w:lvlJc w:val="left"/>
      <w:pPr>
        <w:ind w:hanging="360" w:left="5333"/>
        <w:tabs>
          <w:tab w:val="left" w:pos="5333" w:leader="none"/>
        </w:tabs>
      </w:pPr>
      <w:rPr>
        <w:rFonts w:ascii="Courier New" w:hAnsi="Courier New"/>
      </w:rPr>
    </w:lvl>
    <w:lvl w:ilvl="2" w:tplc="58568A88">
      <w:start w:val="1"/>
      <w:numFmt w:val="bullet"/>
      <w:suff w:val="tab"/>
      <w:lvlText w:val=""/>
      <w:lvlJc w:val="left"/>
      <w:pPr>
        <w:ind w:hanging="360" w:left="6053"/>
        <w:tabs>
          <w:tab w:val="left" w:pos="6053" w:leader="none"/>
        </w:tabs>
      </w:pPr>
      <w:rPr>
        <w:rFonts w:ascii="Wingdings" w:hAnsi="Wingdings"/>
      </w:rPr>
    </w:lvl>
    <w:lvl w:ilvl="3" w:tplc="72CD4C73">
      <w:start w:val="1"/>
      <w:numFmt w:val="bullet"/>
      <w:suff w:val="tab"/>
      <w:lvlText w:val=""/>
      <w:lvlJc w:val="left"/>
      <w:pPr>
        <w:ind w:hanging="360" w:left="6773"/>
        <w:tabs>
          <w:tab w:val="left" w:pos="6773" w:leader="none"/>
        </w:tabs>
      </w:pPr>
      <w:rPr>
        <w:rFonts w:ascii="Symbol" w:hAnsi="Symbol"/>
      </w:rPr>
    </w:lvl>
    <w:lvl w:ilvl="4" w:tplc="0C456A46">
      <w:start w:val="1"/>
      <w:numFmt w:val="bullet"/>
      <w:suff w:val="tab"/>
      <w:lvlText w:val="o"/>
      <w:lvlJc w:val="left"/>
      <w:pPr>
        <w:ind w:hanging="360" w:left="7493"/>
        <w:tabs>
          <w:tab w:val="left" w:pos="7493" w:leader="none"/>
        </w:tabs>
      </w:pPr>
      <w:rPr>
        <w:rFonts w:ascii="Courier New" w:hAnsi="Courier New"/>
      </w:rPr>
    </w:lvl>
    <w:lvl w:ilvl="5" w:tplc="451D9B26">
      <w:start w:val="1"/>
      <w:numFmt w:val="bullet"/>
      <w:suff w:val="tab"/>
      <w:lvlText w:val=""/>
      <w:lvlJc w:val="left"/>
      <w:pPr>
        <w:ind w:hanging="360" w:left="8213"/>
        <w:tabs>
          <w:tab w:val="left" w:pos="8213" w:leader="none"/>
        </w:tabs>
      </w:pPr>
      <w:rPr>
        <w:rFonts w:ascii="Wingdings" w:hAnsi="Wingdings"/>
      </w:rPr>
    </w:lvl>
    <w:lvl w:ilvl="6" w:tplc="4ABF8C17">
      <w:start w:val="1"/>
      <w:numFmt w:val="bullet"/>
      <w:suff w:val="tab"/>
      <w:lvlText w:val=""/>
      <w:lvlJc w:val="left"/>
      <w:pPr>
        <w:ind w:hanging="360" w:left="8933"/>
        <w:tabs>
          <w:tab w:val="left" w:pos="8933" w:leader="none"/>
        </w:tabs>
      </w:pPr>
      <w:rPr>
        <w:rFonts w:ascii="Symbol" w:hAnsi="Symbol"/>
      </w:rPr>
    </w:lvl>
    <w:lvl w:ilvl="7" w:tplc="2510BEE1">
      <w:start w:val="1"/>
      <w:numFmt w:val="bullet"/>
      <w:suff w:val="tab"/>
      <w:lvlText w:val="o"/>
      <w:lvlJc w:val="left"/>
      <w:pPr>
        <w:ind w:hanging="360" w:left="9653"/>
        <w:tabs>
          <w:tab w:val="left" w:pos="9653" w:leader="none"/>
        </w:tabs>
      </w:pPr>
      <w:rPr>
        <w:rFonts w:ascii="Courier New" w:hAnsi="Courier New"/>
      </w:rPr>
    </w:lvl>
    <w:lvl w:ilvl="8" w:tplc="4D6BEDD6">
      <w:start w:val="1"/>
      <w:numFmt w:val="bullet"/>
      <w:suff w:val="tab"/>
      <w:lvlText w:val=""/>
      <w:lvlJc w:val="left"/>
      <w:pPr>
        <w:ind w:hanging="360" w:left="10373"/>
        <w:tabs>
          <w:tab w:val="left" w:pos="10373" w:leader="none"/>
        </w:tabs>
      </w:pPr>
      <w:rPr>
        <w:rFonts w:ascii="Wingdings" w:hAnsi="Wingdings"/>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B76F7D"/>
    <w:multiLevelType w:val="hybridMultilevel"/>
    <w:lvl w:ilvl="0">
      <w:start w:val="1"/>
      <w:numFmt w:val="decimal"/>
      <w:suff w:val="tab"/>
      <w:lvlText w:val=".%1"/>
      <w:lvlJc w:val="left"/>
      <w:pPr>
        <w:ind w:hanging="360" w:left="1211"/>
        <w:tabs>
          <w:tab w:val="left" w:pos="-229" w:leader="none"/>
        </w:tabs>
      </w:pPr>
      <w:rPr/>
    </w:lvl>
    <w:lvl w:ilvl="1" w:tplc="6270D2B6">
      <w:start w:val="1"/>
      <w:numFmt w:val="bullet"/>
      <w:suff w:val="tab"/>
      <w:lvlText w:val="o"/>
      <w:lvlJc w:val="left"/>
      <w:pPr>
        <w:ind w:hanging="360" w:left="2268"/>
        <w:tabs>
          <w:tab w:val="left" w:pos="2268" w:leader="none"/>
        </w:tabs>
      </w:pPr>
      <w:rPr>
        <w:rFonts w:ascii="Courier New" w:hAnsi="Courier New"/>
      </w:rPr>
    </w:lvl>
    <w:lvl w:ilvl="2" w:tplc="17E55160">
      <w:start w:val="1"/>
      <w:numFmt w:val="bullet"/>
      <w:suff w:val="tab"/>
      <w:lvlText w:val=""/>
      <w:lvlJc w:val="left"/>
      <w:pPr>
        <w:ind w:hanging="360" w:left="2988"/>
        <w:tabs>
          <w:tab w:val="left" w:pos="2988" w:leader="none"/>
        </w:tabs>
      </w:pPr>
      <w:rPr>
        <w:rFonts w:ascii="Wingdings" w:hAnsi="Wingdings"/>
      </w:rPr>
    </w:lvl>
    <w:lvl w:ilvl="3" w:tplc="295B3C31">
      <w:start w:val="1"/>
      <w:numFmt w:val="bullet"/>
      <w:suff w:val="tab"/>
      <w:lvlText w:val=""/>
      <w:lvlJc w:val="left"/>
      <w:pPr>
        <w:ind w:hanging="360" w:left="3708"/>
        <w:tabs>
          <w:tab w:val="left" w:pos="3708" w:leader="none"/>
        </w:tabs>
      </w:pPr>
      <w:rPr>
        <w:rFonts w:ascii="Symbol" w:hAnsi="Symbol"/>
      </w:rPr>
    </w:lvl>
    <w:lvl w:ilvl="4" w:tplc="21AD0433">
      <w:start w:val="1"/>
      <w:numFmt w:val="bullet"/>
      <w:suff w:val="tab"/>
      <w:lvlText w:val="o"/>
      <w:lvlJc w:val="left"/>
      <w:pPr>
        <w:ind w:hanging="360" w:left="4428"/>
        <w:tabs>
          <w:tab w:val="left" w:pos="4428" w:leader="none"/>
        </w:tabs>
      </w:pPr>
      <w:rPr>
        <w:rFonts w:ascii="Courier New" w:hAnsi="Courier New"/>
      </w:rPr>
    </w:lvl>
    <w:lvl w:ilvl="5" w:tplc="530BAD6A">
      <w:start w:val="1"/>
      <w:numFmt w:val="bullet"/>
      <w:suff w:val="tab"/>
      <w:lvlText w:val=""/>
      <w:lvlJc w:val="left"/>
      <w:pPr>
        <w:ind w:hanging="360" w:left="5148"/>
        <w:tabs>
          <w:tab w:val="left" w:pos="5148" w:leader="none"/>
        </w:tabs>
      </w:pPr>
      <w:rPr>
        <w:rFonts w:ascii="Wingdings" w:hAnsi="Wingdings"/>
      </w:rPr>
    </w:lvl>
    <w:lvl w:ilvl="6" w:tplc="70B3B584">
      <w:start w:val="1"/>
      <w:numFmt w:val="bullet"/>
      <w:suff w:val="tab"/>
      <w:lvlText w:val=""/>
      <w:lvlJc w:val="left"/>
      <w:pPr>
        <w:ind w:hanging="360" w:left="5868"/>
        <w:tabs>
          <w:tab w:val="left" w:pos="5868" w:leader="none"/>
        </w:tabs>
      </w:pPr>
      <w:rPr>
        <w:rFonts w:ascii="Symbol" w:hAnsi="Symbol"/>
      </w:rPr>
    </w:lvl>
    <w:lvl w:ilvl="7" w:tplc="2B9B39CB">
      <w:start w:val="1"/>
      <w:numFmt w:val="bullet"/>
      <w:suff w:val="tab"/>
      <w:lvlText w:val="o"/>
      <w:lvlJc w:val="left"/>
      <w:pPr>
        <w:ind w:hanging="360" w:left="6588"/>
        <w:tabs>
          <w:tab w:val="left" w:pos="6588" w:leader="none"/>
        </w:tabs>
      </w:pPr>
      <w:rPr>
        <w:rFonts w:ascii="Courier New" w:hAnsi="Courier New"/>
      </w:rPr>
    </w:lvl>
    <w:lvl w:ilvl="8" w:tplc="06678602">
      <w:start w:val="1"/>
      <w:numFmt w:val="bullet"/>
      <w:suff w:val="tab"/>
      <w:lvlText w:val=""/>
      <w:lvlJc w:val="left"/>
      <w:pPr>
        <w:ind w:hanging="360" w:left="7308"/>
        <w:tabs>
          <w:tab w:val="left" w:pos="7308" w:leader="none"/>
        </w:tabs>
      </w:pPr>
      <w:rPr>
        <w:rFonts w:ascii="Wingdings" w:hAnsi="Wingdings"/>
      </w:rPr>
    </w:lvl>
  </w:abstractNum>
  <w:abstractNum w:abstractNumId="10">
    <w:nsid w:val="4FC91065"/>
    <w:multiLevelType w:val="hybridMultilevel"/>
    <w:lvl w:ilvl="0">
      <w:start w:val="1"/>
      <w:numFmt w:val="decimal"/>
      <w:suff w:val="tab"/>
      <w:lvlText w:val=".%1"/>
      <w:lvlJc w:val="left"/>
      <w:pPr>
        <w:ind w:hanging="360" w:left="5989"/>
        <w:tabs>
          <w:tab w:val="left" w:pos="4549" w:leader="none"/>
        </w:tabs>
      </w:pPr>
      <w:rPr/>
    </w:lvl>
    <w:lvl w:ilvl="1" w:tplc="41C59F01">
      <w:start w:val="1"/>
      <w:numFmt w:val="bullet"/>
      <w:suff w:val="tab"/>
      <w:lvlText w:val="o"/>
      <w:lvlJc w:val="left"/>
      <w:pPr>
        <w:ind w:hanging="360" w:left="6709"/>
        <w:tabs>
          <w:tab w:val="left" w:pos="6709" w:leader="none"/>
        </w:tabs>
      </w:pPr>
      <w:rPr>
        <w:rFonts w:ascii="Courier New" w:hAnsi="Courier New"/>
      </w:rPr>
    </w:lvl>
    <w:lvl w:ilvl="2" w:tplc="1FA885BC">
      <w:start w:val="1"/>
      <w:numFmt w:val="bullet"/>
      <w:suff w:val="tab"/>
      <w:lvlText w:val=""/>
      <w:lvlJc w:val="left"/>
      <w:pPr>
        <w:ind w:hanging="360" w:left="7429"/>
        <w:tabs>
          <w:tab w:val="left" w:pos="7429" w:leader="none"/>
        </w:tabs>
      </w:pPr>
      <w:rPr>
        <w:rFonts w:ascii="Wingdings" w:hAnsi="Wingdings"/>
      </w:rPr>
    </w:lvl>
    <w:lvl w:ilvl="3" w:tplc="2731CBD3">
      <w:start w:val="1"/>
      <w:numFmt w:val="bullet"/>
      <w:suff w:val="tab"/>
      <w:lvlText w:val=""/>
      <w:lvlJc w:val="left"/>
      <w:pPr>
        <w:ind w:hanging="360" w:left="8149"/>
        <w:tabs>
          <w:tab w:val="left" w:pos="8149" w:leader="none"/>
        </w:tabs>
      </w:pPr>
      <w:rPr>
        <w:rFonts w:ascii="Symbol" w:hAnsi="Symbol"/>
      </w:rPr>
    </w:lvl>
    <w:lvl w:ilvl="4" w:tplc="33D7A77E">
      <w:start w:val="1"/>
      <w:numFmt w:val="bullet"/>
      <w:suff w:val="tab"/>
      <w:lvlText w:val="o"/>
      <w:lvlJc w:val="left"/>
      <w:pPr>
        <w:ind w:hanging="360" w:left="8869"/>
        <w:tabs>
          <w:tab w:val="left" w:pos="8869" w:leader="none"/>
        </w:tabs>
      </w:pPr>
      <w:rPr>
        <w:rFonts w:ascii="Courier New" w:hAnsi="Courier New"/>
      </w:rPr>
    </w:lvl>
    <w:lvl w:ilvl="5" w:tplc="1D728A23">
      <w:start w:val="1"/>
      <w:numFmt w:val="bullet"/>
      <w:suff w:val="tab"/>
      <w:lvlText w:val=""/>
      <w:lvlJc w:val="left"/>
      <w:pPr>
        <w:ind w:hanging="360" w:left="9589"/>
        <w:tabs>
          <w:tab w:val="left" w:pos="9589" w:leader="none"/>
        </w:tabs>
      </w:pPr>
      <w:rPr>
        <w:rFonts w:ascii="Wingdings" w:hAnsi="Wingdings"/>
      </w:rPr>
    </w:lvl>
    <w:lvl w:ilvl="6" w:tplc="3462D285">
      <w:start w:val="1"/>
      <w:numFmt w:val="bullet"/>
      <w:suff w:val="tab"/>
      <w:lvlText w:val=""/>
      <w:lvlJc w:val="left"/>
      <w:pPr>
        <w:ind w:hanging="360" w:left="10309"/>
        <w:tabs>
          <w:tab w:val="left" w:pos="10309" w:leader="none"/>
        </w:tabs>
      </w:pPr>
      <w:rPr>
        <w:rFonts w:ascii="Symbol" w:hAnsi="Symbol"/>
      </w:rPr>
    </w:lvl>
    <w:lvl w:ilvl="7" w:tplc="7B0E01CA">
      <w:start w:val="1"/>
      <w:numFmt w:val="bullet"/>
      <w:suff w:val="tab"/>
      <w:lvlText w:val="o"/>
      <w:lvlJc w:val="left"/>
      <w:pPr>
        <w:ind w:hanging="360" w:left="11029"/>
        <w:tabs>
          <w:tab w:val="left" w:pos="11029" w:leader="none"/>
        </w:tabs>
      </w:pPr>
      <w:rPr>
        <w:rFonts w:ascii="Courier New" w:hAnsi="Courier New"/>
      </w:rPr>
    </w:lvl>
    <w:lvl w:ilvl="8" w:tplc="231218AB">
      <w:start w:val="1"/>
      <w:numFmt w:val="bullet"/>
      <w:suff w:val="tab"/>
      <w:lvlText w:val=""/>
      <w:lvlJc w:val="left"/>
      <w:pPr>
        <w:ind w:hanging="360" w:left="11749"/>
        <w:tabs>
          <w:tab w:val="left" w:pos="11749"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32B619F"/>
    <w:multiLevelType w:val="hybridMultilevel"/>
    <w:lvl w:ilvl="0">
      <w:start w:val="1"/>
      <w:numFmt w:val="decimal"/>
      <w:suff w:val="tab"/>
      <w:lvlText w:val=".%1"/>
      <w:lvlJc w:val="left"/>
      <w:pPr>
        <w:ind w:hanging="360" w:left="3960"/>
        <w:tabs>
          <w:tab w:val="left" w:pos="2520" w:leader="none"/>
        </w:tabs>
      </w:pPr>
      <w:rPr/>
    </w:lvl>
    <w:lvl w:ilvl="1" w:tplc="5D047440">
      <w:start w:val="1"/>
      <w:numFmt w:val="bullet"/>
      <w:suff w:val="tab"/>
      <w:lvlText w:val="o"/>
      <w:lvlJc w:val="left"/>
      <w:pPr>
        <w:ind w:hanging="360" w:left="4680"/>
        <w:tabs>
          <w:tab w:val="left" w:pos="4680" w:leader="none"/>
        </w:tabs>
      </w:pPr>
      <w:rPr>
        <w:rFonts w:ascii="Courier New" w:hAnsi="Courier New"/>
      </w:rPr>
    </w:lvl>
    <w:lvl w:ilvl="2" w:tplc="0E872F12">
      <w:start w:val="1"/>
      <w:numFmt w:val="bullet"/>
      <w:suff w:val="tab"/>
      <w:lvlText w:val=""/>
      <w:lvlJc w:val="left"/>
      <w:pPr>
        <w:ind w:hanging="360" w:left="5400"/>
        <w:tabs>
          <w:tab w:val="left" w:pos="5400" w:leader="none"/>
        </w:tabs>
      </w:pPr>
      <w:rPr>
        <w:rFonts w:ascii="Wingdings" w:hAnsi="Wingdings"/>
      </w:rPr>
    </w:lvl>
    <w:lvl w:ilvl="3" w:tplc="39385298">
      <w:start w:val="1"/>
      <w:numFmt w:val="bullet"/>
      <w:suff w:val="tab"/>
      <w:lvlText w:val=""/>
      <w:lvlJc w:val="left"/>
      <w:pPr>
        <w:ind w:hanging="360" w:left="6120"/>
        <w:tabs>
          <w:tab w:val="left" w:pos="6120" w:leader="none"/>
        </w:tabs>
      </w:pPr>
      <w:rPr>
        <w:rFonts w:ascii="Symbol" w:hAnsi="Symbol"/>
      </w:rPr>
    </w:lvl>
    <w:lvl w:ilvl="4" w:tplc="63B29E9F">
      <w:start w:val="1"/>
      <w:numFmt w:val="bullet"/>
      <w:suff w:val="tab"/>
      <w:lvlText w:val="o"/>
      <w:lvlJc w:val="left"/>
      <w:pPr>
        <w:ind w:hanging="360" w:left="6840"/>
        <w:tabs>
          <w:tab w:val="left" w:pos="6840" w:leader="none"/>
        </w:tabs>
      </w:pPr>
      <w:rPr>
        <w:rFonts w:ascii="Courier New" w:hAnsi="Courier New"/>
      </w:rPr>
    </w:lvl>
    <w:lvl w:ilvl="5" w:tplc="6D89021E">
      <w:start w:val="1"/>
      <w:numFmt w:val="bullet"/>
      <w:suff w:val="tab"/>
      <w:lvlText w:val=""/>
      <w:lvlJc w:val="left"/>
      <w:pPr>
        <w:ind w:hanging="360" w:left="7560"/>
        <w:tabs>
          <w:tab w:val="left" w:pos="7560" w:leader="none"/>
        </w:tabs>
      </w:pPr>
      <w:rPr>
        <w:rFonts w:ascii="Wingdings" w:hAnsi="Wingdings"/>
      </w:rPr>
    </w:lvl>
    <w:lvl w:ilvl="6" w:tplc="77246EBC">
      <w:start w:val="1"/>
      <w:numFmt w:val="bullet"/>
      <w:suff w:val="tab"/>
      <w:lvlText w:val=""/>
      <w:lvlJc w:val="left"/>
      <w:pPr>
        <w:ind w:hanging="360" w:left="8280"/>
        <w:tabs>
          <w:tab w:val="left" w:pos="8280" w:leader="none"/>
        </w:tabs>
      </w:pPr>
      <w:rPr>
        <w:rFonts w:ascii="Symbol" w:hAnsi="Symbol"/>
      </w:rPr>
    </w:lvl>
    <w:lvl w:ilvl="7" w:tplc="5610DC5E">
      <w:start w:val="1"/>
      <w:numFmt w:val="bullet"/>
      <w:suff w:val="tab"/>
      <w:lvlText w:val="o"/>
      <w:lvlJc w:val="left"/>
      <w:pPr>
        <w:ind w:hanging="360" w:left="9000"/>
        <w:tabs>
          <w:tab w:val="left" w:pos="9000" w:leader="none"/>
        </w:tabs>
      </w:pPr>
      <w:rPr>
        <w:rFonts w:ascii="Courier New" w:hAnsi="Courier New"/>
      </w:rPr>
    </w:lvl>
    <w:lvl w:ilvl="8" w:tplc="4CB52AA3">
      <w:start w:val="1"/>
      <w:numFmt w:val="bullet"/>
      <w:suff w:val="tab"/>
      <w:lvlText w:val=""/>
      <w:lvlJc w:val="left"/>
      <w:pPr>
        <w:ind w:hanging="360" w:left="9720"/>
        <w:tabs>
          <w:tab w:val="left" w:pos="9720" w:leader="none"/>
        </w:tabs>
      </w:pPr>
      <w:rPr>
        <w:rFonts w:ascii="Wingdings" w:hAnsi="Wingdings"/>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C60172C"/>
    <w:multiLevelType w:val="hybridMultilevel"/>
    <w:lvl w:ilvl="0">
      <w:start w:val="1"/>
      <w:numFmt w:val="decimal"/>
      <w:suff w:val="tab"/>
      <w:lvlText w:val=".%1"/>
      <w:lvlJc w:val="left"/>
      <w:pPr>
        <w:ind w:hanging="360" w:left="3960"/>
        <w:tabs>
          <w:tab w:val="left" w:pos="2520" w:leader="none"/>
        </w:tabs>
      </w:pPr>
      <w:rPr/>
    </w:lvl>
    <w:lvl w:ilvl="1" w:tplc="29FD32F1">
      <w:start w:val="1"/>
      <w:numFmt w:val="bullet"/>
      <w:suff w:val="tab"/>
      <w:lvlText w:val="o"/>
      <w:lvlJc w:val="left"/>
      <w:pPr>
        <w:ind w:hanging="360" w:left="5989"/>
        <w:tabs>
          <w:tab w:val="left" w:pos="5989" w:leader="none"/>
        </w:tabs>
      </w:pPr>
      <w:rPr>
        <w:rFonts w:ascii="Courier New" w:hAnsi="Courier New"/>
      </w:rPr>
    </w:lvl>
    <w:lvl w:ilvl="2" w:tplc="2E7F7F71">
      <w:start w:val="1"/>
      <w:numFmt w:val="bullet"/>
      <w:suff w:val="tab"/>
      <w:lvlText w:val=""/>
      <w:lvlJc w:val="left"/>
      <w:pPr>
        <w:ind w:hanging="360" w:left="6709"/>
        <w:tabs>
          <w:tab w:val="left" w:pos="6709" w:leader="none"/>
        </w:tabs>
      </w:pPr>
      <w:rPr>
        <w:rFonts w:ascii="Wingdings" w:hAnsi="Wingdings"/>
      </w:rPr>
    </w:lvl>
    <w:lvl w:ilvl="3" w:tplc="325205C9">
      <w:start w:val="1"/>
      <w:numFmt w:val="bullet"/>
      <w:suff w:val="tab"/>
      <w:lvlText w:val=""/>
      <w:lvlJc w:val="left"/>
      <w:pPr>
        <w:ind w:hanging="360" w:left="7429"/>
        <w:tabs>
          <w:tab w:val="left" w:pos="7429" w:leader="none"/>
        </w:tabs>
      </w:pPr>
      <w:rPr>
        <w:rFonts w:ascii="Symbol" w:hAnsi="Symbol"/>
      </w:rPr>
    </w:lvl>
    <w:lvl w:ilvl="4" w:tplc="7AAC628F">
      <w:start w:val="1"/>
      <w:numFmt w:val="bullet"/>
      <w:suff w:val="tab"/>
      <w:lvlText w:val="o"/>
      <w:lvlJc w:val="left"/>
      <w:pPr>
        <w:ind w:hanging="360" w:left="8149"/>
        <w:tabs>
          <w:tab w:val="left" w:pos="8149" w:leader="none"/>
        </w:tabs>
      </w:pPr>
      <w:rPr>
        <w:rFonts w:ascii="Courier New" w:hAnsi="Courier New"/>
      </w:rPr>
    </w:lvl>
    <w:lvl w:ilvl="5" w:tplc="254FE8D9">
      <w:start w:val="1"/>
      <w:numFmt w:val="bullet"/>
      <w:suff w:val="tab"/>
      <w:lvlText w:val=""/>
      <w:lvlJc w:val="left"/>
      <w:pPr>
        <w:ind w:hanging="360" w:left="8869"/>
        <w:tabs>
          <w:tab w:val="left" w:pos="8869" w:leader="none"/>
        </w:tabs>
      </w:pPr>
      <w:rPr>
        <w:rFonts w:ascii="Wingdings" w:hAnsi="Wingdings"/>
      </w:rPr>
    </w:lvl>
    <w:lvl w:ilvl="6" w:tplc="1B89A136">
      <w:start w:val="1"/>
      <w:numFmt w:val="bullet"/>
      <w:suff w:val="tab"/>
      <w:lvlText w:val=""/>
      <w:lvlJc w:val="left"/>
      <w:pPr>
        <w:ind w:hanging="360" w:left="9589"/>
        <w:tabs>
          <w:tab w:val="left" w:pos="9589" w:leader="none"/>
        </w:tabs>
      </w:pPr>
      <w:rPr>
        <w:rFonts w:ascii="Symbol" w:hAnsi="Symbol"/>
      </w:rPr>
    </w:lvl>
    <w:lvl w:ilvl="7" w:tplc="0A7C6B02">
      <w:start w:val="1"/>
      <w:numFmt w:val="bullet"/>
      <w:suff w:val="tab"/>
      <w:lvlText w:val="o"/>
      <w:lvlJc w:val="left"/>
      <w:pPr>
        <w:ind w:hanging="360" w:left="10309"/>
        <w:tabs>
          <w:tab w:val="left" w:pos="10309" w:leader="none"/>
        </w:tabs>
      </w:pPr>
      <w:rPr>
        <w:rFonts w:ascii="Courier New" w:hAnsi="Courier New"/>
      </w:rPr>
    </w:lvl>
    <w:lvl w:ilvl="8" w:tplc="7390E185">
      <w:start w:val="1"/>
      <w:numFmt w:val="bullet"/>
      <w:suff w:val="tab"/>
      <w:lvlText w:val=""/>
      <w:lvlJc w:val="left"/>
      <w:pPr>
        <w:ind w:hanging="360" w:left="11029"/>
        <w:tabs>
          <w:tab w:val="left" w:pos="11029" w:leader="none"/>
        </w:tabs>
      </w:pPr>
      <w:rPr>
        <w:rFonts w:ascii="Wingdings" w:hAnsi="Wingdings"/>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3"/>
  </w:num>
  <w:num w:numId="6">
    <w:abstractNumId w:val="5"/>
  </w:num>
  <w:num w:numId="7">
    <w:abstractNumId w:val="8"/>
  </w:num>
  <w:num w:numId="8">
    <w:abstractNumId w:val="3"/>
  </w:num>
  <w:num w:numId="9">
    <w:abstractNumId w:val="15"/>
  </w:num>
  <w:num w:numId="10">
    <w:abstractNumId w:val="7"/>
  </w:num>
  <w:num w:numId="11">
    <w:abstractNumId w:val="4"/>
  </w:num>
  <w:num w:numId="12">
    <w:abstractNumId w:val="2"/>
  </w:num>
  <w:num w:numId="13">
    <w:abstractNumId w:val="12"/>
  </w:num>
  <w:num w:numId="14">
    <w:abstractNumId w:val="1"/>
  </w:num>
  <w:num w:numId="15">
    <w:abstractNumId w:val="9"/>
    <w:lvlOverride w:ilvl="0">
      <w:startOverride w:val="1"/>
    </w:lvlOverride>
  </w:num>
  <w:num w:numId="16">
    <w:abstractNumId w:val="14"/>
  </w:num>
  <w:num w:numId="17">
    <w:abstractNumId w:val="10"/>
  </w:num>
  <w:num w:numId="18">
    <w:abstractNumId w:val="14"/>
    <w:lvlOverride w:ilvl="0">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6"/>
      </w:numPr>
      <w:tabs>
        <w:tab w:val="left" w:pos="4320" w:leader="none"/>
      </w:tabs>
      <w:spacing w:lineRule="atLeast" w:line="320" w:before="120" w:after="120"/>
    </w:pPr>
    <w:rPr/>
  </w:style>
  <w:style w:type="paragraph" w:styleId="P26">
    <w:name w:val="Style2"/>
    <w:basedOn w:val="P0"/>
    <w:next w:val="P26"/>
    <w:pPr>
      <w:numPr>
        <w:numId w:val="14"/>
      </w:numPr>
      <w:tabs>
        <w:tab w:val="left" w:pos="1080" w:leader="none"/>
        <w:tab w:val="left" w:pos="1530" w:leader="none"/>
        <w:tab w:val="left" w:pos="5760" w:leader="none"/>
      </w:tabs>
      <w:spacing w:lineRule="atLeast" w:line="320" w:before="120" w:after="120"/>
    </w:pPr>
    <w:rPr>
      <w:rFonts w:ascii="Wingdings" w:hAnsi="Wingdings"/>
    </w:rPr>
  </w:style>
  <w:style w:type="paragraph" w:styleId="P27">
    <w:name w:val="Style3"/>
    <w:basedOn w:val="P0"/>
    <w:next w:val="P27"/>
    <w:pPr>
      <w:numPr>
        <w:numId w:val="13"/>
      </w:numPr>
      <w:tabs>
        <w:tab w:val="left" w:pos="720" w:leader="none"/>
        <w:tab w:val="left" w:pos="1440" w:leader="none"/>
        <w:tab w:val="left" w:pos="2160" w:leader="none"/>
        <w:tab w:val="left" w:pos="2880" w:leader="none"/>
      </w:tabs>
      <w:spacing w:lineRule="atLeast" w:line="320" w:before="120" w:after="120"/>
      <w:jc w:val="both"/>
    </w:pPr>
    <w:rPr>
      <w:color w:val="000000"/>
    </w:rPr>
  </w:style>
  <w:style w:type="paragraph" w:styleId="P28">
    <w:name w:val="Balloon Text"/>
    <w:basedOn w:val="P0"/>
    <w:next w:val="P28"/>
    <w:link w:val="C8"/>
    <w:pPr/>
    <w:rPr>
      <w:rFonts w:ascii="Tahoma" w:hAnsi="Tahoma"/>
      <w:sz w:val="16"/>
    </w:rPr>
  </w:style>
  <w:style w:type="paragraph" w:styleId="P29">
    <w:name w:val="Bullet"/>
    <w:basedOn w:val="P4"/>
    <w:next w:val="P4"/>
    <w:pPr/>
    <w:rPr/>
  </w:style>
  <w:style w:type="paragraph" w:styleId="P30">
    <w:name w:val="CSA"/>
    <w:basedOn w:val="P4"/>
    <w:next w:val="P36"/>
    <w:pPr>
      <w:keepNext w:val="1"/>
      <w:spacing w:after="0"/>
    </w:pPr>
    <w:rPr>
      <w:b w:val="1"/>
      <w:caps w:val="1"/>
      <w:sz w:val="20"/>
    </w:rPr>
  </w:style>
  <w:style w:type="paragraph" w:styleId="P31">
    <w:name w:val="Footnote Text"/>
    <w:basedOn w:val="P4"/>
    <w:next w:val="P31"/>
    <w:pPr>
      <w:spacing w:after="0"/>
    </w:pPr>
    <w:rPr>
      <w:rFonts w:ascii="Arial" w:hAnsi="Arial"/>
      <w:sz w:val="16"/>
    </w:rPr>
  </w:style>
  <w:style w:type="paragraph" w:styleId="P32">
    <w:name w:val="Number"/>
    <w:basedOn w:val="P4"/>
    <w:next w:val="P4"/>
    <w:pPr>
      <w:spacing w:after="0"/>
      <w:ind w:hanging="360" w:left="360"/>
    </w:pPr>
    <w:rPr/>
  </w:style>
  <w:style w:type="paragraph" w:styleId="P33">
    <w:name w:val="Tick"/>
    <w:basedOn w:val="P4"/>
    <w:next w:val="P4"/>
    <w:pPr>
      <w:spacing w:after="0"/>
      <w:ind w:hanging="360" w:left="720"/>
    </w:pPr>
    <w:rPr/>
  </w:style>
  <w:style w:type="paragraph" w:styleId="P34">
    <w:name w:val="TOC 1"/>
    <w:basedOn w:val="P4"/>
    <w:next w:val="P48"/>
    <w:pPr>
      <w:tabs>
        <w:tab w:val="right" w:pos="8640" w:leader="dot"/>
      </w:tabs>
      <w:spacing w:after="0"/>
    </w:pPr>
    <w:rPr>
      <w:b w:val="1"/>
    </w:rPr>
  </w:style>
  <w:style w:type="paragraph" w:styleId="P35">
    <w:name w:val="Comment Subject"/>
    <w:basedOn w:val="P5"/>
    <w:next w:val="P5"/>
    <w:pPr>
      <w:spacing w:before="0"/>
    </w:pPr>
    <w:rPr>
      <w:rFonts w:ascii="Book Antiqua" w:hAnsi="Book Antiqua"/>
      <w:b w:val="1"/>
      <w:sz w:val="20"/>
    </w:rPr>
  </w:style>
  <w:style w:type="paragraph" w:styleId="P36">
    <w:name w:val="Heading 1"/>
    <w:basedOn w:val="P7"/>
    <w:next w:val="P4"/>
    <w:qFormat/>
    <w:pPr>
      <w:keepNext w:val="1"/>
      <w:numPr>
        <w:numId w:val="3"/>
      </w:numPr>
      <w:spacing w:before="160"/>
      <w:ind w:hanging="720" w:left="720"/>
      <w:outlineLvl w:val="0"/>
    </w:pPr>
    <w:rPr>
      <w:rFonts w:ascii="Calibri" w:hAnsi="Calibri"/>
      <w:b w:val="0"/>
      <w:caps w:val="1"/>
      <w:u w:val="single"/>
    </w:rPr>
  </w:style>
  <w:style w:type="paragraph" w:styleId="P37">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8">
    <w:name w:val="Heading 3"/>
    <w:basedOn w:val="P7"/>
    <w:next w:val="P38"/>
    <w:link w:val="C7"/>
    <w:qFormat/>
    <w:pPr>
      <w:numPr>
        <w:ilvl w:val="2"/>
        <w:numId w:val="3"/>
      </w:numPr>
      <w:tabs>
        <w:tab w:val="clear" w:pos="720" w:leader="none"/>
      </w:tabs>
      <w:spacing w:before="80"/>
      <w:ind w:hanging="720" w:left="1440"/>
      <w:outlineLvl w:val="2"/>
    </w:pPr>
    <w:rPr>
      <w:rFonts w:ascii="Calibri" w:hAnsi="Calibri"/>
      <w:b w:val="0"/>
    </w:rPr>
  </w:style>
  <w:style w:type="paragraph" w:styleId="P39">
    <w:name w:val="Heading 4"/>
    <w:basedOn w:val="P7"/>
    <w:next w:val="P39"/>
    <w:qFormat/>
    <w:pPr>
      <w:numPr>
        <w:ilvl w:val="3"/>
        <w:numId w:val="3"/>
      </w:numPr>
      <w:tabs>
        <w:tab w:val="clear" w:pos="864" w:leader="none"/>
      </w:tabs>
      <w:ind w:hanging="720" w:left="2160"/>
      <w:outlineLvl w:val="3"/>
    </w:pPr>
    <w:rPr>
      <w:rFonts w:ascii="Calibri" w:hAnsi="Calibri"/>
      <w:b w:val="0"/>
    </w:rPr>
  </w:style>
  <w:style w:type="paragraph" w:styleId="P40">
    <w:name w:val="Heading 5"/>
    <w:basedOn w:val="P7"/>
    <w:next w:val="P40"/>
    <w:qFormat/>
    <w:pPr>
      <w:numPr>
        <w:ilvl w:val="4"/>
        <w:numId w:val="3"/>
      </w:numPr>
      <w:tabs>
        <w:tab w:val="clear" w:pos="720" w:leader="none"/>
        <w:tab w:val="left" w:pos="5760" w:leader="none"/>
      </w:tabs>
      <w:ind w:hanging="720" w:left="5760"/>
      <w:outlineLvl w:val="4"/>
    </w:pPr>
    <w:rPr>
      <w:rFonts w:ascii="Arial" w:hAnsi="Arial"/>
      <w:b w:val="0"/>
    </w:rPr>
  </w:style>
  <w:style w:type="paragraph" w:styleId="P41">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42">
    <w:name w:val="Caption"/>
    <w:basedOn w:val="P7"/>
    <w:next w:val="P0"/>
    <w:qFormat/>
    <w:pPr>
      <w:keepNext w:val="1"/>
      <w:spacing w:after="240"/>
    </w:pPr>
    <w:rPr>
      <w:b w:val="0"/>
      <w:i w:val="1"/>
      <w:sz w:val="20"/>
    </w:rPr>
  </w:style>
  <w:style w:type="paragraph" w:styleId="P43">
    <w:name w:val="Exhibit--Number"/>
    <w:basedOn w:val="P7"/>
    <w:next w:val="P50"/>
    <w:pPr>
      <w:spacing w:before="160"/>
    </w:pPr>
    <w:rPr>
      <w:caps w:val="1"/>
      <w:sz w:val="18"/>
    </w:rPr>
  </w:style>
  <w:style w:type="paragraph" w:styleId="P44">
    <w:name w:val="Title"/>
    <w:basedOn w:val="P7"/>
    <w:next w:val="P44"/>
    <w:qFormat/>
    <w:pPr>
      <w:keepNext w:val="1"/>
      <w:spacing w:before="160" w:after="30"/>
    </w:pPr>
    <w:rPr>
      <w:sz w:val="20"/>
    </w:rPr>
  </w:style>
  <w:style w:type="paragraph" w:styleId="P45">
    <w:name w:val="Table Body"/>
    <w:basedOn w:val="P12"/>
    <w:next w:val="P45"/>
    <w:pPr>
      <w:jc w:val="left"/>
    </w:pPr>
    <w:rPr>
      <w:b w:val="0"/>
    </w:rPr>
  </w:style>
  <w:style w:type="paragraph" w:styleId="P46">
    <w:name w:val="Style4"/>
    <w:basedOn w:val="P25"/>
    <w:next w:val="P46"/>
    <w:pPr>
      <w:numPr>
        <w:numId w:val="17"/>
      </w:numPr>
    </w:pPr>
    <w:rPr>
      <w:rFonts w:ascii="Courier New" w:hAnsi="Courier New"/>
    </w:rPr>
  </w:style>
  <w:style w:type="paragraph" w:styleId="P47">
    <w:name w:val="List Bullet"/>
    <w:basedOn w:val="P29"/>
    <w:next w:val="P47"/>
    <w:pPr>
      <w:numPr>
        <w:numId w:val="2"/>
      </w:numPr>
    </w:pPr>
    <w:rPr/>
  </w:style>
  <w:style w:type="paragraph" w:styleId="P48">
    <w:name w:val="TOC 2"/>
    <w:basedOn w:val="P34"/>
    <w:next w:val="P52"/>
    <w:pPr>
      <w:tabs>
        <w:tab w:val="left" w:pos="1008" w:leader="none"/>
      </w:tabs>
      <w:ind w:left="720"/>
    </w:pPr>
    <w:rPr>
      <w:b w:val="0"/>
    </w:rPr>
  </w:style>
  <w:style w:type="paragraph" w:styleId="P49">
    <w:name w:val="Contents"/>
    <w:basedOn w:val="P36"/>
    <w:next w:val="P4"/>
    <w:pPr/>
    <w:rPr/>
  </w:style>
  <w:style w:type="paragraph" w:styleId="P50">
    <w:name w:val="Exhibit--Title"/>
    <w:basedOn w:val="P43"/>
    <w:next w:val="P53"/>
    <w:pPr>
      <w:spacing w:before="0"/>
    </w:pPr>
    <w:rPr>
      <w:b w:val="1"/>
      <w:caps w:val="0"/>
      <w:sz w:val="20"/>
    </w:rPr>
  </w:style>
  <w:style w:type="paragraph" w:styleId="P51">
    <w:name w:val="Table Notes"/>
    <w:basedOn w:val="P45"/>
    <w:next w:val="P51"/>
    <w:pPr>
      <w:spacing w:after="320"/>
    </w:pPr>
    <w:rPr/>
  </w:style>
  <w:style w:type="paragraph" w:styleId="P52">
    <w:name w:val="TOC 3"/>
    <w:basedOn w:val="P48"/>
    <w:next w:val="P52"/>
    <w:pPr>
      <w:tabs>
        <w:tab w:val="clear" w:pos="1008" w:leader="none"/>
        <w:tab w:val="left" w:pos="1728" w:leader="none"/>
      </w:tabs>
      <w:ind w:left="1440"/>
    </w:pPr>
    <w:rPr/>
  </w:style>
  <w:style w:type="paragraph" w:styleId="P53">
    <w:name w:val="Exhibit--Caption"/>
    <w:basedOn w:val="P50"/>
    <w:next w:val="P4"/>
    <w:pPr/>
    <w:rPr>
      <w:i w:val="1"/>
    </w:rPr>
  </w:style>
  <w:style w:type="paragraph" w:styleId="P54">
    <w:name w:val="TOC 4"/>
    <w:basedOn w:val="P52"/>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8"/>
    <w:rPr>
      <w:rFonts w:ascii="Calibri" w:hAnsi="Calibri"/>
      <w:b w:val="0"/>
    </w:rPr>
  </w:style>
  <w:style w:type="character" w:styleId="C8">
    <w:name w:val="Balloon Text Char"/>
    <w:link w:val="P28"/>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2015-04-17T14:57:00Z</dcterms:created>
  <cp:lastModifiedBy>Ray</cp:lastModifiedBy>
  <cp:lastPrinted>2009-11-26T13:40:00Z</cp:lastPrinted>
  <dcterms:modified xsi:type="dcterms:W3CDTF">2022-10-04T19:38:52Z</dcterms:modified>
  <cp:revision>8</cp:revision>
  <dc:title>13140 Differential Pressure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117300.000000000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