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314952C3" Type="http://schemas.openxmlformats.org/officeDocument/2006/relationships/officeDocument" Target="/word/document.xml" /><Relationship Id="coreR314952C3" Type="http://schemas.openxmlformats.org/package/2006/relationships/metadata/core-properties" Target="/docProps/core.xml" /><Relationship Id="customR314952C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8"/>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8"/>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April 21,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7"/>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7"/>
              <w:rPr>
                <w:rFonts w:ascii="Calibri" w:hAnsi="Calibri"/>
                <w:sz w:val="22"/>
              </w:rPr>
            </w:pPr>
            <w:r>
              <w:rPr>
                <w:rFonts w:ascii="Calibri" w:hAnsi="Calibri"/>
                <w:sz w:val="22"/>
              </w:rPr>
              <w:t>1.4 Tagging requirement revised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7"/>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7"/>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7"/>
              <w:rPr>
                <w:rFonts w:ascii="Calibri" w:hAnsi="Calibri"/>
                <w:sz w:val="22"/>
              </w:rPr>
            </w:pP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well as u</w:t>
      </w:r>
      <w:r>
        <w:rPr>
          <w:rFonts w:ascii="Calibri" w:hAnsi="Calibri"/>
          <w:b w:val="1"/>
          <w:highlight w:val="yellow"/>
        </w:rPr>
        <w:t>pdating and modifying those sections that are dire</w:t>
      </w:r>
      <w:r>
        <w:rPr>
          <w:rFonts w:ascii="Calibri" w:hAnsi="Calibri"/>
          <w:b w:val="1"/>
          <w:highlight w:val="yellow"/>
        </w:rPr>
        <w:t xml:space="preserve">ctly applicable to the project.  All updates and modifications to this standard document are to be highlighted to the Region for review and acceptance on each project.</w:t>
      </w:r>
      <w:r>
        <w:rPr>
          <w:rFonts w:ascii="Calibri" w:hAnsi="Calibri"/>
          <w:b w:val="1"/>
        </w:rPr>
        <w:t xml:space="preserve"> </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w:t>
      </w:r>
      <w:r>
        <w:rPr>
          <w:rFonts w:ascii="Calibri" w:hAnsi="Calibri"/>
          <w:b w:val="1"/>
        </w:rPr>
        <w:t>y is the current version of the document.</w:t>
      </w:r>
    </w:p>
    <w:p>
      <w:pPr>
        <w:pStyle w:val="P37"/>
      </w:pPr>
      <w:r>
        <w:br w:type="page"/>
        <w:t>GENERAL</w:t>
      </w:r>
    </w:p>
    <w:p>
      <w:pPr>
        <w:pStyle w:val="P38"/>
      </w:pPr>
      <w:r>
        <w:t>General</w:t>
      </w:r>
    </w:p>
    <w:p>
      <w:pPr>
        <w:pStyle w:val="P39"/>
      </w:pPr>
      <w:bookmarkStart w:id="0" w:name="_Toc16568122"/>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9"/>
      </w:pPr>
      <w:r>
        <w:t>The contractor is to clearly identify on the shop drawings any deviation from the specification.</w:t>
      </w:r>
    </w:p>
    <w:p>
      <w:pPr>
        <w:pStyle w:val="P38"/>
      </w:pPr>
      <w:r>
        <w:t>Measurement and Payment</w:t>
      </w:r>
    </w:p>
    <w:p>
      <w:pPr>
        <w:pStyle w:val="P39"/>
      </w:pPr>
      <w:r>
        <w:t>The work outlined in this section shall be included in the lump sum price for Section 13280 – Weigh Scale as indicated in the Bid Form.</w:t>
      </w:r>
    </w:p>
    <w:p>
      <w:pPr>
        <w:pStyle w:val="P38"/>
      </w:pPr>
      <w:bookmarkEnd w:id="0"/>
      <w:bookmarkStart w:id="1" w:name="_Toc16568123"/>
      <w:r>
        <w:t>Load Cell</w:t>
      </w:r>
    </w:p>
    <w:p>
      <w:pPr>
        <w:pStyle w:val="P39"/>
      </w:pPr>
      <w:r>
        <w:t>Material: NTEP, Stainless Steel IP67</w:t>
      </w:r>
    </w:p>
    <w:p>
      <w:pPr>
        <w:pStyle w:val="P39"/>
      </w:pPr>
      <w:r>
        <w:t>Connections for 4 lead or 6 lead with sense, jumper selectable.</w:t>
      </w:r>
    </w:p>
    <w:p>
      <w:pPr>
        <w:pStyle w:val="P39"/>
      </w:pPr>
      <w:r>
        <w:t>Signal Range: 0.1 - 20 mV/V scale output</w:t>
      </w:r>
    </w:p>
    <w:p>
      <w:pPr>
        <w:pStyle w:val="P39"/>
      </w:pPr>
      <w:r>
        <w:t>Resistance: 350 ohms bridge resistance</w:t>
      </w:r>
    </w:p>
    <w:p>
      <w:pPr>
        <w:pStyle w:val="P39"/>
      </w:pPr>
      <w:r>
        <w:t xml:space="preserve">150% safe overload, 300% max. </w:t>
      </w:r>
    </w:p>
    <w:p>
      <w:pPr>
        <w:pStyle w:val="P39"/>
      </w:pPr>
      <w:r>
        <w:t>Excitation 10VDC, short circuit protected.</w:t>
      </w:r>
    </w:p>
    <w:p>
      <w:pPr>
        <w:pStyle w:val="P39"/>
      </w:pPr>
      <w:r>
        <w:t>Dual platform, 300kg capacity. 0.1kg precision.</w:t>
      </w:r>
    </w:p>
    <w:p>
      <w:pPr>
        <w:pStyle w:val="P39"/>
      </w:pPr>
      <w:r>
        <w:t xml:space="preserve">Provide manufacturer's recommended model appropriate for media application </w:t>
      </w:r>
    </w:p>
    <w:p>
      <w:pPr>
        <w:pStyle w:val="P38"/>
      </w:pPr>
      <w:bookmarkEnd w:id="1"/>
      <w:bookmarkStart w:id="2" w:name="_Toc16568124"/>
      <w:r>
        <w:t>Transmitter / Controller</w:t>
      </w:r>
      <w:bookmarkEnd w:id="2"/>
    </w:p>
    <w:p>
      <w:pPr>
        <w:pStyle w:val="P39"/>
      </w:pPr>
      <w:r>
        <w:t>Stainless Steel NEMA 4X enclosure.</w:t>
      </w:r>
    </w:p>
    <w:p>
      <w:pPr>
        <w:pStyle w:val="P39"/>
      </w:pPr>
      <w:r>
        <w:t>Sealed elastomer keypad for protection against harsh environments.</w:t>
      </w:r>
    </w:p>
    <w:p>
      <w:pPr>
        <w:pStyle w:val="P39"/>
      </w:pPr>
      <w:r>
        <w:t>Swivel bracket for mounting to fixed surface.</w:t>
      </w:r>
    </w:p>
    <w:p>
      <w:pPr>
        <w:pStyle w:val="P39"/>
      </w:pPr>
      <w:r>
        <w:t>Capability to power minimum of twelve 350 ohm load cells.</w:t>
      </w:r>
    </w:p>
    <w:p>
      <w:pPr>
        <w:pStyle w:val="P39"/>
      </w:pPr>
      <w:r>
        <w:t>Isolated 20-240 VAC, 3-60 VDC output modules, 1-3A rating.</w:t>
      </w:r>
    </w:p>
    <w:p>
      <w:pPr>
        <w:pStyle w:val="P39"/>
      </w:pPr>
      <w:r>
        <w:t xml:space="preserve">Equipment tag wired to transmitter and to weigh scale in accordance with </w:t>
      </w:r>
      <w:r>
        <w:rPr>
          <w:highlight w:val="yellow"/>
        </w:rPr>
        <w:t>Section 01080 – Process Equipment Location Tagging</w:t>
      </w:r>
      <w:r>
        <w:t>.</w:t>
      </w:r>
    </w:p>
    <w:p>
      <w:pPr>
        <w:pStyle w:val="P39"/>
      </w:pPr>
      <w:r>
        <w:t>Isolated current loop for load impedance of 0 to 750 ohms, programmable as 4-20mA, linear to weight, provided for each scale value.</w:t>
      </w:r>
    </w:p>
    <w:p>
      <w:pPr>
        <w:pStyle w:val="P37"/>
      </w:pPr>
      <w:bookmarkStart w:id="3" w:name="_Toc15372463"/>
      <w:bookmarkStart w:id="4" w:name="_Toc16568125"/>
      <w:r>
        <w:t>INSTALLATION</w:t>
      </w:r>
      <w:bookmarkEnd w:id="3"/>
      <w:bookmarkEnd w:id="4"/>
    </w:p>
    <w:p>
      <w:pPr>
        <w:pStyle w:val="P38"/>
      </w:pPr>
      <w:bookmarkStart w:id="5" w:name="_Toc15372464"/>
      <w:bookmarkStart w:id="6" w:name="_Toc16568126"/>
      <w:r>
        <w:t>General</w:t>
      </w:r>
      <w:bookmarkEnd w:id="5"/>
      <w:bookmarkEnd w:id="6"/>
    </w:p>
    <w:p>
      <w:pPr>
        <w:pStyle w:val="P39"/>
      </w:pPr>
      <w:bookmarkStart w:id="7" w:name="OLE_LINK1"/>
      <w:r>
        <w:t>The following installation requirements are in addition to or deviations from the requirements set forth for instrumentation in Section 13105 – Process Control: General Instrumentation Standard.</w:t>
      </w:r>
    </w:p>
    <w:p>
      <w:pPr>
        <w:pStyle w:val="P39"/>
      </w:pPr>
      <w:bookmarkEnd w:id="7"/>
      <w:r>
        <w:t>Provide all stainless steel mounting hardware.</w:t>
      </w:r>
    </w:p>
    <w:p>
      <w:pPr>
        <w:pStyle w:val="P39"/>
      </w:pPr>
      <w:r>
        <w:t xml:space="preserve">Mount transmitter/controller on weigh scale pedestal.  Transmitter/controller cabling to be routed through pedestal to load cell.</w:t>
      </w:r>
    </w:p>
    <w:p>
      <w:pPr>
        <w:pStyle w:val="P39"/>
      </w:pPr>
      <w:r>
        <w:t>Provide front mounted visible data display behind clear, shatterproof viewing cover.</w:t>
      </w:r>
    </w:p>
    <w:p>
      <w:pPr>
        <w:pStyle w:val="P39"/>
      </w:pPr>
      <w:r>
        <w:t xml:space="preserve">Provide PVC conduit for cable between transmitter and PAC.  Conduit entries through walls to be sealed.</w:t>
      </w:r>
    </w:p>
    <w:p>
      <w:pPr>
        <w:pStyle w:val="P39"/>
      </w:pPr>
      <w:r>
        <w:t>Transmitter/Electronics are not to not to be mounted outdoors.</w:t>
      </w:r>
    </w:p>
    <w:p>
      <w:pPr>
        <w:pStyle w:val="P37"/>
      </w:pPr>
      <w:bookmarkStart w:id="8" w:name="_Toc16568127"/>
      <w:r>
        <w:t>ACCEPTABLE MANUFACTURERS</w:t>
      </w:r>
      <w:bookmarkEnd w:id="8"/>
    </w:p>
    <w:p>
      <w:pPr>
        <w:pStyle w:val="P39"/>
      </w:pPr>
      <w:r>
        <w:t xml:space="preserve">Acceptable manufactures are listed in the following table in order of preference.  The design has been completed around the first named supplier.  The contractor is responsible for all costs associated with any changes required to the design to accommodate one of the other manufacturers.</w:t>
      </w:r>
    </w:p>
    <w:tbl>
      <w:tblPr>
        <w:tblStyle w:val="T2"/>
        <w:tblW w:w="0" w:type="auto"/>
        <w:tblInd w:w="1548"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1417"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rPr>
                <w:rFonts w:ascii="Calibri" w:hAnsi="Calibri"/>
                <w:b w:val="1"/>
              </w:rPr>
            </w:pPr>
            <w:r>
              <w:rPr>
                <w:rFonts w:ascii="Calibri" w:hAnsi="Calibri"/>
                <w:b w:val="1"/>
              </w:rPr>
              <w:t>Preference</w:t>
            </w:r>
          </w:p>
        </w:tc>
        <w:tc>
          <w:tcPr>
            <w:tcW w:w="226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rPr>
                <w:rFonts w:ascii="Calibri" w:hAnsi="Calibri"/>
                <w:b w:val="1"/>
              </w:rPr>
            </w:pPr>
            <w:r>
              <w:rPr>
                <w:rFonts w:ascii="Calibri" w:hAnsi="Calibri"/>
                <w:b w:val="1"/>
              </w:rPr>
              <w:t>Manufacturer</w:t>
            </w:r>
          </w:p>
        </w:tc>
        <w:tc>
          <w:tcPr>
            <w:tcW w:w="226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numPr>
                <w:ilvl w:val="3"/>
                <w:numId w:val="0"/>
              </w:numPr>
              <w:rPr>
                <w:rFonts w:ascii="Calibri" w:hAnsi="Calibri"/>
                <w:b w:val="1"/>
              </w:rPr>
            </w:pPr>
            <w:r>
              <w:rPr>
                <w:rFonts w:ascii="Calibri" w:hAnsi="Calibri"/>
                <w:b w:val="1"/>
              </w:rPr>
              <w:t>Model</w:t>
            </w:r>
          </w:p>
        </w:tc>
      </w:tr>
      <w:tr>
        <w:trPr>
          <w:wAfter w:w="0" w:type="dxa"/>
        </w:trPr>
        <w:tc>
          <w:tcPr>
            <w:tcW w:w="1417" w:type="dxa"/>
            <w:tcBorders>
              <w:top w:val="single" w:sz="18" w:space="0" w:shadow="0" w:frame="0" w:color="000000"/>
            </w:tcBorders>
          </w:tcPr>
          <w:p>
            <w:pPr>
              <w:pStyle w:val="P40"/>
              <w:numPr>
                <w:ilvl w:val="3"/>
                <w:numId w:val="0"/>
              </w:numPr>
              <w:rPr>
                <w:rFonts w:ascii="Calibri" w:hAnsi="Calibri"/>
              </w:rPr>
            </w:pPr>
            <w:r>
              <w:rPr>
                <w:rFonts w:ascii="Calibri" w:hAnsi="Calibri"/>
              </w:rPr>
              <w:t>1</w:t>
            </w:r>
          </w:p>
        </w:tc>
        <w:tc>
          <w:tcPr>
            <w:tcW w:w="2268" w:type="dxa"/>
            <w:tcBorders>
              <w:top w:val="single" w:sz="18" w:space="0" w:shadow="0" w:frame="0" w:color="000000"/>
            </w:tcBorders>
          </w:tcPr>
          <w:p>
            <w:pPr>
              <w:pStyle w:val="P40"/>
              <w:numPr>
                <w:ilvl w:val="3"/>
                <w:numId w:val="0"/>
              </w:numPr>
              <w:rPr>
                <w:rFonts w:ascii="Calibri" w:hAnsi="Calibri"/>
              </w:rPr>
            </w:pPr>
            <w:r>
              <w:rPr>
                <w:rFonts w:ascii="Calibri" w:hAnsi="Calibri"/>
              </w:rPr>
              <w:t>Matrix Scale Service</w:t>
            </w:r>
          </w:p>
        </w:tc>
        <w:tc>
          <w:tcPr>
            <w:tcW w:w="2268" w:type="dxa"/>
            <w:tcBorders>
              <w:top w:val="single" w:sz="18" w:space="0" w:shadow="0" w:frame="0" w:color="000000"/>
            </w:tcBorders>
          </w:tcPr>
          <w:p>
            <w:pPr>
              <w:pStyle w:val="P40"/>
              <w:numPr>
                <w:ilvl w:val="3"/>
                <w:numId w:val="0"/>
              </w:numPr>
              <w:rPr>
                <w:rFonts w:ascii="Calibri" w:hAnsi="Calibri"/>
              </w:rPr>
            </w:pPr>
            <w:r>
              <w:rPr>
                <w:rFonts w:ascii="Calibri" w:hAnsi="Calibri"/>
              </w:rPr>
              <w:t>CS300-2</w:t>
            </w:r>
          </w:p>
        </w:tc>
      </w:tr>
      <w:tr>
        <w:trPr>
          <w:wAfter w:w="0" w:type="dxa"/>
        </w:trPr>
        <w:tc>
          <w:tcPr>
            <w:tcW w:w="1417" w:type="dxa"/>
          </w:tcPr>
          <w:p>
            <w:pPr>
              <w:pStyle w:val="P40"/>
              <w:numPr>
                <w:ilvl w:val="3"/>
                <w:numId w:val="0"/>
              </w:numPr>
              <w:rPr>
                <w:rFonts w:ascii="Calibri" w:hAnsi="Calibri"/>
              </w:rPr>
            </w:pPr>
            <w:r>
              <w:rPr>
                <w:rFonts w:ascii="Calibri" w:hAnsi="Calibri"/>
              </w:rPr>
              <w:t>2</w:t>
            </w:r>
          </w:p>
        </w:tc>
        <w:tc>
          <w:tcPr>
            <w:tcW w:w="2268" w:type="dxa"/>
          </w:tcPr>
          <w:p>
            <w:pPr>
              <w:pStyle w:val="P40"/>
              <w:numPr>
                <w:ilvl w:val="3"/>
                <w:numId w:val="0"/>
              </w:numPr>
              <w:rPr>
                <w:rFonts w:ascii="Calibri" w:hAnsi="Calibri"/>
              </w:rPr>
            </w:pPr>
          </w:p>
        </w:tc>
        <w:tc>
          <w:tcPr>
            <w:tcW w:w="2268" w:type="dxa"/>
          </w:tcPr>
          <w:p>
            <w:pPr>
              <w:pStyle w:val="P40"/>
              <w:numPr>
                <w:ilvl w:val="3"/>
                <w:numId w:val="0"/>
              </w:numPr>
              <w:rPr>
                <w:rFonts w:ascii="Calibri" w:hAnsi="Calibri"/>
              </w:rPr>
            </w:pPr>
          </w:p>
        </w:tc>
      </w:tr>
      <w:tr>
        <w:trPr>
          <w:wAfter w:w="0" w:type="dxa"/>
        </w:trPr>
        <w:tc>
          <w:tcPr>
            <w:tcW w:w="1417" w:type="dxa"/>
          </w:tcPr>
          <w:p>
            <w:pPr>
              <w:pStyle w:val="P40"/>
              <w:numPr>
                <w:ilvl w:val="3"/>
                <w:numId w:val="0"/>
              </w:numPr>
              <w:rPr>
                <w:rFonts w:ascii="Calibri" w:hAnsi="Calibri"/>
              </w:rPr>
            </w:pPr>
            <w:r>
              <w:rPr>
                <w:rFonts w:ascii="Calibri" w:hAnsi="Calibri"/>
              </w:rPr>
              <w:t>3</w:t>
            </w:r>
          </w:p>
        </w:tc>
        <w:tc>
          <w:tcPr>
            <w:tcW w:w="2268" w:type="dxa"/>
          </w:tcPr>
          <w:p>
            <w:pPr>
              <w:pStyle w:val="P40"/>
              <w:numPr>
                <w:ilvl w:val="3"/>
                <w:numId w:val="0"/>
              </w:numPr>
              <w:rPr>
                <w:rFonts w:ascii="Calibri" w:hAnsi="Calibri"/>
              </w:rPr>
            </w:pPr>
          </w:p>
        </w:tc>
        <w:tc>
          <w:tcPr>
            <w:tcW w:w="2268" w:type="dxa"/>
          </w:tcPr>
          <w:p>
            <w:pPr>
              <w:pStyle w:val="P40"/>
              <w:numPr>
                <w:ilvl w:val="3"/>
                <w:numId w:val="0"/>
              </w:numPr>
              <w:rPr>
                <w:rFonts w:ascii="Calibri" w:hAnsi="Calibri"/>
              </w:rPr>
            </w:pPr>
          </w:p>
        </w:tc>
      </w:tr>
    </w:tbl>
    <w:p>
      <w:pPr>
        <w:pStyle w:val="P39"/>
        <w:numPr>
          <w:ilvl w:val="2"/>
          <w:numId w:val="0"/>
        </w:numPr>
        <w:ind w:left="720"/>
        <w:rPr>
          <w:sz w:val="8"/>
        </w:rPr>
      </w:pPr>
    </w:p>
    <w:p>
      <w:pPr>
        <w:pStyle w:val="P39"/>
      </w:pPr>
      <w:r>
        <w:t>The Contractor is to select the appropriate options to suit the application and the requirements of the specification.</w:t>
      </w:r>
    </w:p>
    <w:p>
      <w:pPr>
        <w:pStyle w:val="P39"/>
      </w:pPr>
      <w:r>
        <w:t>Where second and third named manufacturers are provided, they are to meet the performance specifications of the first named manufacturer.</w:t>
      </w:r>
    </w:p>
    <w:p>
      <w:pPr>
        <w:pStyle w:val="P38"/>
        <w:numPr>
          <w:ilvl w:val="1"/>
          <w:numId w:val="19"/>
        </w:numPr>
      </w:pPr>
      <w:bookmarkStart w:id="9" w:name="_Toc16568128"/>
      <w:r>
        <w:t>Weigh Scale</w:t>
      </w:r>
      <w:bookmarkEnd w:id="9"/>
    </w:p>
    <w:p>
      <w:pPr>
        <w:pStyle w:val="P5"/>
        <w:rPr>
          <w:rFonts w:ascii="Calibri" w:hAnsi="Calibri"/>
        </w:rPr>
      </w:pPr>
      <w:r>
        <w:rPr>
          <w:rFonts w:ascii="Calibri" w:hAnsi="Calibri"/>
        </w:rPr>
        <w:t>First Named Manufacturer:</w:t>
      </w:r>
    </w:p>
    <w:tbl>
      <w:tblPr>
        <w:tblStyle w:val="T2"/>
        <w:tblW w:w="6084" w:type="dxa"/>
        <w:tblInd w:w="735" w:type="dxa"/>
        <w:tblBorders>
          <w:top w:val="double" w:sz="4" w:space="0" w:shadow="0" w:frame="0"/>
          <w:left w:val="double" w:sz="4" w:space="0" w:shadow="0" w:frame="0"/>
          <w:bottom w:val="double" w:sz="4" w:space="0" w:shadow="0" w:frame="0"/>
          <w:right w:val="double" w:sz="4"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exact" w:val="288"/>
        </w:trPr>
        <w:tc>
          <w:tcPr>
            <w:tcW w:w="2399" w:type="dxa"/>
            <w:tcBorders>
              <w:top w:val="double" w:sz="4" w:space="0" w:shadow="0" w:frame="0"/>
              <w:bottom w:val="single" w:sz="6" w:space="0" w:shadow="0" w:frame="0"/>
            </w:tcBorders>
            <w:shd w:val="clear" w:color="auto" w:fill="E6E6E6"/>
            <w:vAlign w:val="center"/>
          </w:tcPr>
          <w:p>
            <w:pPr>
              <w:keepNext w:val="1"/>
              <w:keepLines w:val="1"/>
              <w:rPr>
                <w:rFonts w:ascii="Calibri" w:hAnsi="Calibri"/>
                <w:b w:val="1"/>
                <w:color w:val="000000"/>
                <w:u w:val="single"/>
              </w:rPr>
            </w:pPr>
            <w:r>
              <w:rPr>
                <w:rFonts w:ascii="Calibri" w:hAnsi="Calibri"/>
                <w:b w:val="1"/>
                <w:color w:val="000000"/>
                <w:u w:val="single"/>
              </w:rPr>
              <w:t>Service:</w:t>
            </w:r>
          </w:p>
        </w:tc>
        <w:tc>
          <w:tcPr>
            <w:tcW w:w="3685" w:type="dxa"/>
            <w:vAlign w:val="center"/>
          </w:tcPr>
          <w:p>
            <w:pPr>
              <w:keepNext w:val="1"/>
              <w:keepLines w:val="1"/>
              <w:jc w:val="center"/>
              <w:rPr>
                <w:rFonts w:ascii="Calibri" w:hAnsi="Calibri"/>
                <w:color w:val="000000"/>
                <w:highlight w:val="yellow"/>
              </w:rPr>
            </w:pPr>
            <w:r>
              <w:rPr>
                <w:rFonts w:ascii="Calibri" w:hAnsi="Calibri"/>
                <w:color w:val="000000"/>
                <w:highlight w:val="yellow"/>
              </w:rPr>
              <w:t>Chlorine Cylinder</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keepNext w:val="1"/>
              <w:keepLines w:val="1"/>
              <w:rPr>
                <w:rFonts w:ascii="Calibri" w:hAnsi="Calibri"/>
                <w:b w:val="1"/>
                <w:color w:val="000000"/>
                <w:u w:val="single"/>
              </w:rPr>
            </w:pPr>
            <w:r>
              <w:rPr>
                <w:rFonts w:ascii="Calibri" w:hAnsi="Calibri"/>
                <w:b w:val="1"/>
                <w:color w:val="000000"/>
                <w:u w:val="single"/>
              </w:rPr>
              <w:t>Process:</w:t>
            </w:r>
          </w:p>
        </w:tc>
        <w:tc>
          <w:tcPr>
            <w:tcW w:w="3685" w:type="dxa"/>
            <w:vAlign w:val="center"/>
          </w:tcPr>
          <w:p>
            <w:pPr>
              <w:keepNext w:val="1"/>
              <w:keepLines w:val="1"/>
              <w:jc w:val="center"/>
              <w:rPr>
                <w:rFonts w:ascii="Calibri" w:hAnsi="Calibri"/>
                <w:color w:val="000000"/>
                <w:highlight w:val="yellow"/>
              </w:rPr>
            </w:pP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keepNext w:val="1"/>
              <w:keepLines w:val="1"/>
              <w:jc w:val="right"/>
              <w:rPr>
                <w:rFonts w:ascii="Calibri" w:hAnsi="Calibri"/>
                <w:color w:val="000000"/>
              </w:rPr>
            </w:pPr>
            <w:r>
              <w:rPr>
                <w:rFonts w:ascii="Calibri" w:hAnsi="Calibri"/>
                <w:color w:val="000000"/>
              </w:rPr>
              <w:t>Tag Name:</w:t>
            </w:r>
          </w:p>
        </w:tc>
        <w:tc>
          <w:tcPr>
            <w:tcW w:w="3685" w:type="dxa"/>
            <w:vAlign w:val="center"/>
          </w:tcPr>
          <w:p>
            <w:pPr>
              <w:keepNext w:val="1"/>
              <w:keepLines w:val="1"/>
              <w:jc w:val="center"/>
              <w:rPr>
                <w:rFonts w:ascii="Calibri" w:hAnsi="Calibri"/>
                <w:color w:val="000000"/>
                <w:highlight w:val="yellow"/>
              </w:rPr>
            </w:pPr>
            <w:r>
              <w:rPr>
                <w:rFonts w:ascii="Calibri" w:hAnsi="Calibri"/>
                <w:color w:val="000000"/>
                <w:highlight w:val="yellow"/>
              </w:rPr>
              <w:t>xxxx-xxx</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keepNext w:val="1"/>
              <w:keepLines w:val="1"/>
              <w:jc w:val="right"/>
              <w:rPr>
                <w:rFonts w:ascii="Calibri" w:hAnsi="Calibri"/>
                <w:color w:val="000000"/>
              </w:rPr>
            </w:pPr>
            <w:r>
              <w:rPr>
                <w:rFonts w:ascii="Calibri" w:hAnsi="Calibri"/>
                <w:color w:val="000000"/>
              </w:rPr>
              <w:t>Installation DWG:</w:t>
            </w:r>
          </w:p>
        </w:tc>
        <w:tc>
          <w:tcPr>
            <w:tcW w:w="3685" w:type="dxa"/>
            <w:vAlign w:val="center"/>
          </w:tcPr>
          <w:p>
            <w:pPr>
              <w:keepNext w:val="1"/>
              <w:keepLines w:val="1"/>
              <w:jc w:val="center"/>
              <w:rPr>
                <w:rFonts w:ascii="Calibri" w:hAnsi="Calibri"/>
                <w:color w:val="000000"/>
                <w:highlight w:val="yellow"/>
              </w:rPr>
            </w:pPr>
            <w:r>
              <w:rPr>
                <w:rFonts w:ascii="Calibri" w:hAnsi="Calibri"/>
                <w:color w:val="000000"/>
                <w:highlight w:val="yellow"/>
              </w:rPr>
              <w:t>13280x</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Compound:</w:t>
            </w:r>
          </w:p>
        </w:tc>
        <w:tc>
          <w:tcPr>
            <w:tcW w:w="3685" w:type="dxa"/>
            <w:vAlign w:val="center"/>
          </w:tcPr>
          <w:p>
            <w:pPr>
              <w:jc w:val="center"/>
              <w:rPr>
                <w:rFonts w:ascii="Calibri" w:hAnsi="Calibri"/>
                <w:color w:val="000000"/>
                <w:highlight w:val="yellow"/>
              </w:rPr>
            </w:pPr>
            <w:r>
              <w:rPr>
                <w:rFonts w:ascii="Calibri" w:hAnsi="Calibri"/>
                <w:color w:val="000000"/>
                <w:highlight w:val="yellow"/>
              </w:rPr>
              <w:t>Chlorine</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Temp min/max:</w:t>
            </w:r>
          </w:p>
        </w:tc>
        <w:tc>
          <w:tcPr>
            <w:tcW w:w="3685" w:type="dxa"/>
            <w:vAlign w:val="center"/>
          </w:tcPr>
          <w:p>
            <w:pPr>
              <w:jc w:val="center"/>
              <w:rPr>
                <w:rFonts w:ascii="Calibri" w:hAnsi="Calibri"/>
                <w:color w:val="000000"/>
                <w:highlight w:val="yellow"/>
              </w:rPr>
            </w:pPr>
            <w:r>
              <w:rPr>
                <w:rFonts w:ascii="Calibri" w:hAnsi="Calibri"/>
                <w:color w:val="000000"/>
                <w:highlight w:val="yellow"/>
              </w:rPr>
              <w:t xml:space="preserve">0 to 25 </w:t>
            </w:r>
            <w:r>
              <w:rPr>
                <w:rFonts w:ascii="Symbol" w:hAnsi="Symbol"/>
                <w:color w:val="000000"/>
                <w:highlight w:val="yellow"/>
              </w:rPr>
              <w:t>°</w:t>
            </w:r>
            <w:r>
              <w:rPr>
                <w:rFonts w:ascii="Calibri" w:hAnsi="Calibri"/>
                <w:color w:val="000000"/>
                <w:highlight w:val="yellow"/>
              </w:rPr>
              <w:t>C</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Press min/max:</w:t>
            </w:r>
          </w:p>
        </w:tc>
        <w:tc>
          <w:tcPr>
            <w:tcW w:w="3685" w:type="dxa"/>
            <w:vAlign w:val="center"/>
          </w:tcPr>
          <w:p>
            <w:pPr>
              <w:jc w:val="center"/>
              <w:rPr>
                <w:rFonts w:ascii="Calibri" w:hAnsi="Calibri"/>
                <w:color w:val="000000"/>
                <w:highlight w:val="yellow"/>
              </w:rPr>
            </w:pPr>
            <w:r>
              <w:rPr>
                <w:rFonts w:ascii="Calibri" w:hAnsi="Calibri"/>
                <w:color w:val="000000"/>
                <w:highlight w:val="yellow"/>
              </w:rPr>
              <w:t>Ambient</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rPr>
                <w:rFonts w:ascii="Calibri" w:hAnsi="Calibri"/>
                <w:b w:val="1"/>
                <w:color w:val="000000"/>
                <w:u w:val="single"/>
              </w:rPr>
            </w:pPr>
            <w:r>
              <w:rPr>
                <w:rFonts w:ascii="Calibri" w:hAnsi="Calibri"/>
                <w:b w:val="1"/>
                <w:color w:val="000000"/>
                <w:u w:val="single"/>
              </w:rPr>
              <w:t>Load Cell Device Data:</w:t>
            </w:r>
          </w:p>
        </w:tc>
        <w:tc>
          <w:tcPr>
            <w:tcW w:w="3685" w:type="dxa"/>
            <w:vAlign w:val="center"/>
          </w:tcPr>
          <w:p>
            <w:pPr>
              <w:jc w:val="center"/>
              <w:rPr>
                <w:rFonts w:ascii="Calibri" w:hAnsi="Calibri"/>
                <w:color w:val="000000"/>
                <w:highlight w:val="yellow"/>
              </w:rPr>
            </w:pP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Material:</w:t>
            </w:r>
          </w:p>
        </w:tc>
        <w:tc>
          <w:tcPr>
            <w:tcW w:w="3685" w:type="dxa"/>
            <w:vAlign w:val="center"/>
          </w:tcPr>
          <w:p>
            <w:pPr>
              <w:jc w:val="center"/>
              <w:rPr>
                <w:rFonts w:ascii="Calibri" w:hAnsi="Calibri"/>
                <w:color w:val="000000"/>
                <w:highlight w:val="yellow"/>
              </w:rPr>
            </w:pPr>
            <w:r>
              <w:rPr>
                <w:rFonts w:ascii="Calibri" w:hAnsi="Calibri"/>
                <w:color w:val="000000"/>
                <w:highlight w:val="yellow"/>
              </w:rPr>
              <w:t>NTEP, Stainless Steel IP67</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Signal Range:</w:t>
            </w:r>
          </w:p>
        </w:tc>
        <w:tc>
          <w:tcPr>
            <w:tcW w:w="3685" w:type="dxa"/>
            <w:vAlign w:val="center"/>
          </w:tcPr>
          <w:p>
            <w:pPr>
              <w:jc w:val="center"/>
              <w:rPr>
                <w:rFonts w:ascii="Calibri" w:hAnsi="Calibri"/>
                <w:color w:val="000000"/>
                <w:highlight w:val="yellow"/>
              </w:rPr>
            </w:pPr>
            <w:r>
              <w:rPr>
                <w:rFonts w:ascii="Calibri" w:hAnsi="Calibri"/>
                <w:color w:val="000000"/>
                <w:highlight w:val="yellow"/>
              </w:rPr>
              <w:t>.1 - 20 mV/V scale</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Resistance:</w:t>
            </w:r>
          </w:p>
        </w:tc>
        <w:tc>
          <w:tcPr>
            <w:tcW w:w="3685" w:type="dxa"/>
            <w:vAlign w:val="center"/>
          </w:tcPr>
          <w:p>
            <w:pPr>
              <w:jc w:val="center"/>
              <w:rPr>
                <w:rFonts w:ascii="Calibri" w:hAnsi="Calibri"/>
                <w:color w:val="000000"/>
                <w:highlight w:val="yellow"/>
              </w:rPr>
            </w:pPr>
            <w:r>
              <w:rPr>
                <w:rFonts w:ascii="Calibri" w:hAnsi="Calibri"/>
                <w:color w:val="000000"/>
                <w:highlight w:val="yellow"/>
              </w:rPr>
              <w:t>350 ohms</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Platform:</w:t>
            </w:r>
          </w:p>
        </w:tc>
        <w:tc>
          <w:tcPr>
            <w:tcW w:w="3685" w:type="dxa"/>
            <w:vAlign w:val="center"/>
          </w:tcPr>
          <w:p>
            <w:pPr>
              <w:jc w:val="center"/>
              <w:rPr>
                <w:rFonts w:ascii="Calibri" w:hAnsi="Calibri"/>
                <w:color w:val="000000"/>
              </w:rPr>
            </w:pPr>
            <w:r>
              <w:rPr>
                <w:rFonts w:ascii="Calibri" w:hAnsi="Calibri"/>
                <w:color w:val="000000"/>
              </w:rPr>
              <w:t>Dual Platform</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Capacity:</w:t>
            </w:r>
          </w:p>
        </w:tc>
        <w:tc>
          <w:tcPr>
            <w:tcW w:w="3685" w:type="dxa"/>
            <w:vAlign w:val="center"/>
          </w:tcPr>
          <w:p>
            <w:pPr>
              <w:jc w:val="center"/>
              <w:rPr>
                <w:rFonts w:ascii="Calibri" w:hAnsi="Calibri"/>
                <w:color w:val="000000"/>
              </w:rPr>
            </w:pPr>
            <w:r>
              <w:rPr>
                <w:rFonts w:ascii="Calibri" w:hAnsi="Calibri"/>
                <w:color w:val="000000"/>
              </w:rPr>
              <w:t>300kg</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Precision:</w:t>
            </w:r>
          </w:p>
        </w:tc>
        <w:tc>
          <w:tcPr>
            <w:tcW w:w="3685" w:type="dxa"/>
            <w:vAlign w:val="center"/>
          </w:tcPr>
          <w:p>
            <w:pPr>
              <w:jc w:val="center"/>
              <w:rPr>
                <w:rFonts w:ascii="Calibri" w:hAnsi="Calibri"/>
                <w:color w:val="000000"/>
              </w:rPr>
            </w:pPr>
            <w:r>
              <w:rPr>
                <w:rFonts w:ascii="Calibri" w:hAnsi="Calibri"/>
                <w:color w:val="000000"/>
              </w:rPr>
              <w:t>0.1kg</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rPr>
                <w:rFonts w:ascii="Calibri" w:hAnsi="Calibri"/>
                <w:b w:val="1"/>
                <w:color w:val="000000"/>
                <w:u w:val="single"/>
              </w:rPr>
            </w:pPr>
            <w:r>
              <w:rPr>
                <w:rFonts w:ascii="Calibri" w:hAnsi="Calibri"/>
                <w:b w:val="1"/>
                <w:color w:val="000000"/>
                <w:u w:val="single"/>
              </w:rPr>
              <w:t>Transmitter</w:t>
            </w:r>
            <w:r>
              <w:rPr>
                <w:rFonts w:ascii="Calibri" w:hAnsi="Calibri"/>
                <w:b w:val="1"/>
                <w:color w:val="000000"/>
                <w:u w:val="single"/>
              </w:rPr>
              <w:t xml:space="preserve"> Device Data</w:t>
            </w:r>
            <w:r>
              <w:rPr>
                <w:rFonts w:ascii="Calibri" w:hAnsi="Calibri"/>
                <w:b w:val="1"/>
                <w:color w:val="000000"/>
                <w:u w:val="single"/>
              </w:rPr>
              <w:t>:</w:t>
            </w:r>
          </w:p>
        </w:tc>
        <w:tc>
          <w:tcPr>
            <w:tcW w:w="3685" w:type="dxa"/>
            <w:vAlign w:val="center"/>
          </w:tcPr>
          <w:p>
            <w:pPr>
              <w:jc w:val="center"/>
              <w:rPr>
                <w:rFonts w:ascii="Calibri" w:hAnsi="Calibri"/>
                <w:color w:val="000000"/>
                <w:highlight w:val="yellow"/>
              </w:rPr>
            </w:pP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Output:</w:t>
            </w:r>
          </w:p>
        </w:tc>
        <w:tc>
          <w:tcPr>
            <w:tcW w:w="3685" w:type="dxa"/>
            <w:vAlign w:val="center"/>
          </w:tcPr>
          <w:p>
            <w:pPr>
              <w:jc w:val="center"/>
              <w:rPr>
                <w:rFonts w:ascii="Calibri" w:hAnsi="Calibri"/>
                <w:color w:val="000000"/>
                <w:highlight w:val="yellow"/>
              </w:rPr>
            </w:pPr>
            <w:r>
              <w:rPr>
                <w:rFonts w:ascii="Calibri" w:hAnsi="Calibri"/>
                <w:color w:val="000000"/>
              </w:rPr>
              <w:t xml:space="preserve">4 - 20 mA isolated (750 </w:t>
            </w:r>
            <w:r>
              <w:rPr>
                <w:rFonts w:ascii="Symbol" w:hAnsi="Symbol"/>
                <w:color w:val="000000"/>
              </w:rPr>
              <w:t>W</w:t>
            </w:r>
            <w:r>
              <w:rPr>
                <w:rFonts w:ascii="Calibri" w:hAnsi="Calibri"/>
                <w:color w:val="000000"/>
              </w:rPr>
              <w:t>)</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Power Supply:</w:t>
            </w:r>
          </w:p>
        </w:tc>
        <w:tc>
          <w:tcPr>
            <w:tcW w:w="3685" w:type="dxa"/>
            <w:vAlign w:val="center"/>
          </w:tcPr>
          <w:p>
            <w:pPr>
              <w:jc w:val="center"/>
              <w:rPr>
                <w:rFonts w:ascii="Calibri" w:hAnsi="Calibri"/>
                <w:color w:val="000000"/>
                <w:highlight w:val="yellow"/>
              </w:rPr>
            </w:pPr>
            <w:r>
              <w:rPr>
                <w:rFonts w:ascii="Calibri" w:hAnsi="Calibri"/>
                <w:color w:val="000000"/>
              </w:rPr>
              <w:t>120 Vac - 60 Hz</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Enclosure:</w:t>
            </w:r>
          </w:p>
        </w:tc>
        <w:tc>
          <w:tcPr>
            <w:tcW w:w="3685" w:type="dxa"/>
            <w:vAlign w:val="center"/>
          </w:tcPr>
          <w:p>
            <w:pPr>
              <w:jc w:val="center"/>
              <w:rPr>
                <w:rFonts w:ascii="Calibri" w:hAnsi="Calibri"/>
                <w:color w:val="000000"/>
                <w:highlight w:val="yellow"/>
              </w:rPr>
            </w:pPr>
            <w:r>
              <w:rPr>
                <w:rFonts w:ascii="Calibri" w:hAnsi="Calibri"/>
                <w:color w:val="000000"/>
                <w:highlight w:val="yellow"/>
              </w:rPr>
              <w:t>Stainless Steel NEMA 4X</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Indication:</w:t>
            </w:r>
          </w:p>
        </w:tc>
        <w:tc>
          <w:tcPr>
            <w:tcW w:w="3685" w:type="dxa"/>
            <w:vAlign w:val="center"/>
          </w:tcPr>
          <w:p>
            <w:pPr>
              <w:jc w:val="center"/>
              <w:rPr>
                <w:rFonts w:ascii="Calibri" w:hAnsi="Calibri"/>
                <w:color w:val="000000"/>
                <w:highlight w:val="yellow"/>
              </w:rPr>
            </w:pPr>
            <w:r>
              <w:rPr>
                <w:rFonts w:ascii="Calibri" w:hAnsi="Calibri"/>
                <w:color w:val="000000"/>
                <w:highlight w:val="yellow"/>
              </w:rPr>
              <w:t>Local Back Lit LCD, Eng units</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Resolution:</w:t>
            </w:r>
          </w:p>
        </w:tc>
        <w:tc>
          <w:tcPr>
            <w:tcW w:w="3685" w:type="dxa"/>
            <w:vAlign w:val="center"/>
          </w:tcPr>
          <w:p>
            <w:pPr>
              <w:jc w:val="center"/>
              <w:rPr>
                <w:rFonts w:ascii="Calibri" w:hAnsi="Calibri"/>
                <w:color w:val="000000"/>
                <w:highlight w:val="yellow"/>
              </w:rPr>
            </w:pPr>
            <w:r>
              <w:rPr>
                <w:rFonts w:ascii="Calibri" w:hAnsi="Calibri"/>
                <w:color w:val="000000"/>
                <w:highlight w:val="yellow"/>
              </w:rPr>
              <w:t>1,000,000 displayed (+/-500,000 internal)</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Prog. Software:</w:t>
            </w:r>
          </w:p>
        </w:tc>
        <w:tc>
          <w:tcPr>
            <w:tcW w:w="3685" w:type="dxa"/>
            <w:vAlign w:val="center"/>
          </w:tcPr>
          <w:p>
            <w:pPr>
              <w:pStyle w:val="P24"/>
              <w:pBdr>
                <w:bottom w:val="none" w:sz="0" w:space="0" w:shadow="0" w:frame="0"/>
                <w:right w:val="none" w:sz="0" w:space="0" w:shadow="0" w:frame="0"/>
              </w:pBdr>
              <w:tabs>
                <w:tab w:val="left" w:pos="720" w:leader="none"/>
                <w:tab w:val="left" w:pos="1440" w:leader="none"/>
                <w:tab w:val="left" w:pos="2160" w:leader="none"/>
                <w:tab w:val="left" w:pos="2880" w:leader="none"/>
              </w:tabs>
              <w:spacing w:before="0" w:after="0" w:beforeAutospacing="0" w:afterAutospacing="0"/>
              <w:rPr>
                <w:rFonts w:ascii="Calibri" w:hAnsi="Calibri"/>
                <w:color w:val="000000"/>
                <w:sz w:val="22"/>
                <w:highlight w:val="yellow"/>
              </w:rPr>
            </w:pPr>
            <w:r>
              <w:rPr>
                <w:rFonts w:ascii="Calibri" w:hAnsi="Calibri"/>
                <w:color w:val="000000"/>
                <w:sz w:val="22"/>
                <w:highlight w:val="yellow"/>
              </w:rPr>
              <w:t>Yes</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Options:</w:t>
            </w:r>
          </w:p>
        </w:tc>
        <w:tc>
          <w:tcPr>
            <w:tcW w:w="3685" w:type="dxa"/>
            <w:vAlign w:val="center"/>
          </w:tcPr>
          <w:p>
            <w:pPr>
              <w:jc w:val="center"/>
              <w:rPr>
                <w:rFonts w:ascii="Calibri" w:hAnsi="Calibri"/>
                <w:color w:val="000000"/>
                <w:highlight w:val="yellow"/>
              </w:rPr>
            </w:pPr>
            <w:r>
              <w:rPr>
                <w:rFonts w:ascii="Calibri" w:hAnsi="Calibri"/>
                <w:color w:val="000000"/>
              </w:rPr>
              <w:t>Analog Output Module, I/O Relay Modules</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p>
        </w:tc>
        <w:tc>
          <w:tcPr>
            <w:tcW w:w="3685" w:type="dxa"/>
            <w:vAlign w:val="center"/>
          </w:tcPr>
          <w:p>
            <w:pPr>
              <w:jc w:val="center"/>
              <w:rPr>
                <w:rFonts w:ascii="Calibri" w:hAnsi="Calibri"/>
                <w:color w:val="000000"/>
              </w:rPr>
            </w:pPr>
            <w:r>
              <w:rPr>
                <w:rFonts w:ascii="Calibri" w:hAnsi="Calibri"/>
                <w:i w:val="1"/>
                <w:color w:val="000000"/>
                <w:highlight w:val="yellow"/>
              </w:rPr>
              <w:t>Additional added as necessary</w:t>
            </w:r>
          </w:p>
        </w:tc>
      </w:tr>
      <w:tr>
        <w:trPr>
          <w:wAfter w:w="0" w:type="dxa"/>
          <w:trHeight w:hRule="exact" w:val="288"/>
        </w:trPr>
        <w:tc>
          <w:tcPr>
            <w:tcW w:w="2399" w:type="dxa"/>
            <w:tcBorders>
              <w:top w:val="single" w:sz="6" w:space="0" w:shadow="0" w:frame="0"/>
              <w:bottom w:val="single" w:sz="6" w:space="0" w:shadow="0" w:frame="0"/>
            </w:tcBorders>
            <w:shd w:val="clear" w:color="auto" w:fill="E6E6E6"/>
            <w:vAlign w:val="center"/>
          </w:tcPr>
          <w:p>
            <w:pPr>
              <w:jc w:val="right"/>
              <w:rPr>
                <w:rFonts w:ascii="Calibri" w:hAnsi="Calibri"/>
                <w:color w:val="000000"/>
              </w:rPr>
            </w:pPr>
            <w:r>
              <w:rPr>
                <w:rFonts w:ascii="Calibri" w:hAnsi="Calibri"/>
                <w:color w:val="000000"/>
              </w:rPr>
              <w:t>Manufacturer:</w:t>
            </w:r>
          </w:p>
        </w:tc>
        <w:tc>
          <w:tcPr>
            <w:tcW w:w="3685" w:type="dxa"/>
            <w:vAlign w:val="center"/>
          </w:tcPr>
          <w:p>
            <w:pPr>
              <w:jc w:val="center"/>
              <w:rPr>
                <w:rFonts w:ascii="Calibri" w:hAnsi="Calibri"/>
                <w:color w:val="000000"/>
                <w:highlight w:val="yellow"/>
              </w:rPr>
            </w:pPr>
            <w:r>
              <w:rPr>
                <w:rFonts w:ascii="Calibri" w:hAnsi="Calibri"/>
                <w:color w:val="000000"/>
              </w:rPr>
              <w:t>Matrix Scale Service</w:t>
            </w:r>
          </w:p>
        </w:tc>
      </w:tr>
      <w:tr>
        <w:trPr>
          <w:wAfter w:w="0" w:type="dxa"/>
          <w:trHeight w:hRule="exact" w:val="288"/>
        </w:trPr>
        <w:tc>
          <w:tcPr>
            <w:tcW w:w="2399" w:type="dxa"/>
            <w:tcBorders>
              <w:top w:val="single" w:sz="6" w:space="0" w:shadow="0" w:frame="0"/>
              <w:bottom w:val="double" w:sz="4" w:space="0" w:shadow="0" w:frame="0"/>
            </w:tcBorders>
            <w:shd w:val="clear" w:color="auto" w:fill="E6E6E6"/>
            <w:vAlign w:val="center"/>
          </w:tcPr>
          <w:p>
            <w:pPr>
              <w:jc w:val="right"/>
              <w:rPr>
                <w:rFonts w:ascii="Calibri" w:hAnsi="Calibri"/>
                <w:color w:val="000000"/>
              </w:rPr>
            </w:pPr>
            <w:r>
              <w:rPr>
                <w:rFonts w:ascii="Calibri" w:hAnsi="Calibri"/>
                <w:color w:val="000000"/>
              </w:rPr>
              <w:t>Part Number:</w:t>
            </w:r>
          </w:p>
        </w:tc>
        <w:tc>
          <w:tcPr>
            <w:tcW w:w="3685" w:type="dxa"/>
            <w:vAlign w:val="center"/>
          </w:tcPr>
          <w:p>
            <w:pPr>
              <w:jc w:val="center"/>
              <w:rPr>
                <w:rFonts w:ascii="Calibri" w:hAnsi="Calibri"/>
                <w:color w:val="000000"/>
                <w:highlight w:val="yellow"/>
              </w:rPr>
            </w:pPr>
            <w:r>
              <w:rPr>
                <w:rFonts w:ascii="Calibri" w:hAnsi="Calibri"/>
                <w:color w:val="000000"/>
              </w:rPr>
              <w:t>CS300-2</w:t>
            </w:r>
          </w:p>
        </w:tc>
      </w:tr>
    </w:tbl>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152"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13280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WEIGH SCALE</w:t>
    </w:r>
    <w:r>
      <w:rPr>
        <w:rFonts w:ascii="Arial" w:hAnsi="Arial"/>
      </w:rPr>
      <w:tab/>
      <w:t>2015-04-21</w:t>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13280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t>WEIGH SCALE</w:t>
    </w:r>
    <w:r>
      <w:rPr>
        <w:rFonts w:ascii="Calibri" w:hAnsi="Calibri"/>
      </w:rPr>
      <w:tab/>
      <w:t>2022-06-13</w:t>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bottom w:val="single" w:sz="4" w:space="0" w:shadow="0" w:frame="0"/>
      </w:pBdr>
      <w:tabs>
        <w:tab w:val="right" w:pos="10350" w:leader="none"/>
      </w:tabs>
      <w:rPr>
        <w:rFonts w:ascii="Calibri" w:hAnsi="Calibri"/>
      </w:rPr>
    </w:pPr>
    <w:r>
      <w:rPr>
        <w:rFonts w:ascii="Calibri" w:hAnsi="Calibri"/>
      </w:rPr>
      <w:t>Section 13280</w:t>
      <w:tab/>
      <w:t>CONTRACT NO</w:t>
    </w:r>
    <w:r>
      <w:rPr>
        <w:rFonts w:ascii="Calibri" w:hAnsi="Calibri"/>
        <w:highlight w:val="yellow"/>
      </w:rPr>
      <w:t>.... [Insert Region Number]</w:t>
    </w:r>
    <w:r>
      <w:rPr>
        <w:rFonts w:ascii="Calibri" w:hAnsi="Calibri"/>
      </w:rPr>
      <w:tab/>
    </w:r>
  </w:p>
  <w:p>
    <w:pPr>
      <w:pBdr>
        <w:top w:val="single" w:sz="4" w:space="0" w:shadow="0" w:frame="0"/>
        <w:bottom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2022-06-13</w:t>
    </w:r>
    <w:r>
      <w:rPr>
        <w:rFonts w:ascii="Calibri" w:hAnsi="Calibri"/>
        <w:b w:val="1"/>
      </w:rPr>
      <w:tab/>
      <w:t>WEIGH SCALE</w:t>
    </w:r>
    <w:r>
      <w:rPr>
        <w:rFonts w:ascii="Calibri" w:hAnsi="Calibri"/>
      </w:rPr>
      <w:tab/>
      <w:tab/>
    </w:r>
  </w:p>
  <w:p>
    <w:pPr>
      <w:pBdr>
        <w:top w:val="single" w:sz="4" w:space="0" w:shadow="0" w:frame="0"/>
        <w:bottom w:val="single" w:sz="4" w:space="0" w:shadow="0" w:frame="0"/>
      </w:pBdr>
      <w:tabs>
        <w:tab w:val="center" w:pos="5175" w:leader="none"/>
        <w:tab w:val="right" w:pos="10350" w:leader="none"/>
      </w:tabs>
      <w:rPr>
        <w:rFonts w:ascii="Calibri" w:hAnsi="Calibri"/>
        <w:sz w:val="16"/>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2010)]</w:t>
    </w:r>
    <w:r>
      <w:rPr>
        <w:rFonts w:ascii="Calibri" w:hAnsi="Calibri"/>
      </w:rPr>
      <w:tab/>
    </w:r>
  </w:p>
  <w:p>
    <w:pPr>
      <w:pBdr>
        <w:top w:val="single" w:sz="4" w:space="0" w:shadow="0" w:frame="0"/>
        <w:bottom w:val="single" w:sz="4" w:space="0" w:shadow="0" w:frame="0"/>
      </w:pBdr>
      <w:tabs>
        <w:tab w:val="center" w:pos="5175" w:leader="none"/>
        <w:tab w:val="right" w:pos="10350" w:leader="none"/>
      </w:tabs>
      <w:rPr>
        <w:sz w:val="14"/>
      </w:rPr>
    </w:pPr>
  </w:p>
</w:hdr>
</file>

<file path=word/numbering.xml><?xml version="1.0" encoding="utf-8"?>
<w:numbering xmlns:w="http://schemas.openxmlformats.org/wordprocessingml/2006/main">
  <w:abstractNum w:abstractNumId="0">
    <w:nsid w:val="FFFFFF89"/>
    <w:multiLevelType w:val="hybridMultilevel"/>
    <w:lvl w:ilvl="0" w:tplc="3AD9BDD6">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B123D57"/>
    <w:multiLevelType w:val="hybridMultilevel"/>
    <w:lvl w:ilvl="0">
      <w:start w:val="1"/>
      <w:numFmt w:val="decimal"/>
      <w:suff w:val="tab"/>
      <w:lvlText w:val=".%1"/>
      <w:lvlJc w:val="left"/>
      <w:pPr>
        <w:ind w:hanging="360" w:left="4397"/>
        <w:tabs>
          <w:tab w:val="left" w:pos="2957" w:leader="none"/>
        </w:tabs>
      </w:pPr>
      <w:rPr/>
    </w:lvl>
    <w:lvl w:ilvl="1" w:tplc="4034E877">
      <w:start w:val="1"/>
      <w:numFmt w:val="bullet"/>
      <w:suff w:val="tab"/>
      <w:lvlText w:val="o"/>
      <w:lvlJc w:val="left"/>
      <w:pPr>
        <w:ind w:hanging="360" w:left="2709"/>
        <w:tabs>
          <w:tab w:val="left" w:pos="2709" w:leader="none"/>
        </w:tabs>
      </w:pPr>
      <w:rPr>
        <w:rFonts w:ascii="Courier New" w:hAnsi="Courier New"/>
      </w:rPr>
    </w:lvl>
    <w:lvl w:ilvl="2" w:tplc="5DEB1620">
      <w:start w:val="1"/>
      <w:numFmt w:val="bullet"/>
      <w:suff w:val="tab"/>
      <w:lvlText w:val=""/>
      <w:lvlJc w:val="left"/>
      <w:pPr>
        <w:ind w:hanging="360" w:left="3429"/>
        <w:tabs>
          <w:tab w:val="left" w:pos="3429" w:leader="none"/>
        </w:tabs>
      </w:pPr>
      <w:rPr>
        <w:rFonts w:ascii="Wingdings" w:hAnsi="Wingdings"/>
      </w:rPr>
    </w:lvl>
    <w:lvl w:ilvl="3" w:tplc="03D5637F">
      <w:start w:val="1"/>
      <w:numFmt w:val="bullet"/>
      <w:suff w:val="tab"/>
      <w:lvlText w:val=""/>
      <w:lvlJc w:val="left"/>
      <w:pPr>
        <w:ind w:hanging="360" w:left="4149"/>
        <w:tabs>
          <w:tab w:val="left" w:pos="4149" w:leader="none"/>
        </w:tabs>
      </w:pPr>
      <w:rPr>
        <w:rFonts w:ascii="Symbol" w:hAnsi="Symbol"/>
      </w:rPr>
    </w:lvl>
    <w:lvl w:ilvl="4">
      <w:start w:val="1"/>
      <w:numFmt w:val="decimal"/>
      <w:suff w:val="tab"/>
      <w:lvlText w:val="%5."/>
      <w:lvlJc w:val="left"/>
      <w:pPr>
        <w:ind w:hanging="360" w:left="4890"/>
        <w:tabs>
          <w:tab w:val="left" w:pos="4890" w:leader="none"/>
        </w:tabs>
      </w:pPr>
      <w:rPr/>
    </w:lvl>
    <w:lvl w:ilvl="5" w:tplc="10910CC0">
      <w:start w:val="1"/>
      <w:numFmt w:val="bullet"/>
      <w:suff w:val="tab"/>
      <w:lvlText w:val=""/>
      <w:lvlJc w:val="left"/>
      <w:pPr>
        <w:ind w:hanging="360" w:left="5589"/>
        <w:tabs>
          <w:tab w:val="left" w:pos="5589" w:leader="none"/>
        </w:tabs>
      </w:pPr>
      <w:rPr>
        <w:rFonts w:ascii="Wingdings" w:hAnsi="Wingdings"/>
      </w:rPr>
    </w:lvl>
    <w:lvl w:ilvl="6" w:tplc="51911940">
      <w:start w:val="1"/>
      <w:numFmt w:val="bullet"/>
      <w:suff w:val="tab"/>
      <w:lvlText w:val=""/>
      <w:lvlJc w:val="left"/>
      <w:pPr>
        <w:ind w:hanging="360" w:left="6309"/>
        <w:tabs>
          <w:tab w:val="left" w:pos="6309" w:leader="none"/>
        </w:tabs>
      </w:pPr>
      <w:rPr>
        <w:rFonts w:ascii="Symbol" w:hAnsi="Symbol"/>
      </w:rPr>
    </w:lvl>
    <w:lvl w:ilvl="7" w:tplc="328BEF49">
      <w:start w:val="1"/>
      <w:numFmt w:val="bullet"/>
      <w:suff w:val="tab"/>
      <w:lvlText w:val="o"/>
      <w:lvlJc w:val="left"/>
      <w:pPr>
        <w:ind w:hanging="360" w:left="7029"/>
        <w:tabs>
          <w:tab w:val="left" w:pos="7029" w:leader="none"/>
        </w:tabs>
      </w:pPr>
      <w:rPr>
        <w:rFonts w:ascii="Courier New" w:hAnsi="Courier New"/>
      </w:rPr>
    </w:lvl>
    <w:lvl w:ilvl="8" w:tplc="18489840">
      <w:start w:val="1"/>
      <w:numFmt w:val="bullet"/>
      <w:suff w:val="tab"/>
      <w:lvlText w:val=""/>
      <w:lvlJc w:val="left"/>
      <w:pPr>
        <w:ind w:hanging="360" w:left="7749"/>
        <w:tabs>
          <w:tab w:val="left" w:pos="7749" w:leader="none"/>
        </w:tabs>
      </w:pPr>
      <w:rPr>
        <w:rFonts w:ascii="Wingdings" w:hAnsi="Wingdings"/>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9"/>
  </w:num>
  <w:num w:numId="4">
    <w:abstractNumId w:val="6"/>
  </w:num>
  <w:num w:numId="5">
    <w:abstractNumId w:val="10"/>
  </w:num>
  <w:num w:numId="6">
    <w:abstractNumId w:val="5"/>
  </w:num>
  <w:num w:numId="7">
    <w:abstractNumId w:val="8"/>
  </w:num>
  <w:num w:numId="8">
    <w:abstractNumId w:val="2"/>
  </w:num>
  <w:num w:numId="9">
    <w:abstractNumId w:val="11"/>
  </w:num>
  <w:num w:numId="10">
    <w:abstractNumId w:val="7"/>
  </w:num>
  <w:num w:numId="11">
    <w:abstractNumId w:val="4"/>
  </w:num>
  <w:num w:numId="12">
    <w:abstractNumId w:val="1"/>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9"/>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Body Text Indent 2"/>
    <w:basedOn w:val="P0"/>
    <w:next w:val="P22"/>
    <w:pPr>
      <w:spacing w:lineRule="auto" w:line="480" w:after="120"/>
      <w:ind w:left="360"/>
    </w:pPr>
    <w:rPr/>
  </w:style>
  <w:style w:type="paragraph" w:styleId="P23">
    <w:name w:val="font5"/>
    <w:basedOn w:val="P0"/>
    <w:next w:val="P23"/>
    <w:pPr>
      <w:spacing w:before="100" w:after="100" w:beforeAutospacing="1" w:afterAutospacing="1"/>
    </w:pPr>
    <w:rPr>
      <w:rFonts w:ascii="Arial" w:hAnsi="Arial"/>
      <w:sz w:val="16"/>
    </w:rPr>
  </w:style>
  <w:style w:type="paragraph" w:styleId="P24">
    <w:name w:val="xl50"/>
    <w:basedOn w:val="P0"/>
    <w:next w:val="P24"/>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25">
    <w:name w:val="Style4"/>
    <w:basedOn w:val="P0"/>
    <w:next w:val="P25"/>
    <w:pPr>
      <w:numPr>
        <w:ilvl w:val="4"/>
        <w:numId w:val="13"/>
      </w:numPr>
      <w:tabs>
        <w:tab w:val="left" w:pos="1080" w:leader="none"/>
        <w:tab w:val="left" w:pos="5760" w:leader="none"/>
      </w:tabs>
      <w:spacing w:lineRule="atLeast" w:line="320" w:before="120" w:after="120"/>
    </w:pPr>
    <w:rPr/>
  </w:style>
  <w:style w:type="paragraph" w:styleId="P26">
    <w:name w:val="Style6"/>
    <w:basedOn w:val="P0"/>
    <w:next w:val="P26"/>
    <w:pPr>
      <w:numPr>
        <w:ilvl w:val="4"/>
        <w:numId w:val="10"/>
      </w:numPr>
      <w:tabs>
        <w:tab w:val="left" w:pos="1080" w:leader="none"/>
        <w:tab w:val="left" w:pos="5760" w:leader="none"/>
      </w:tabs>
      <w:spacing w:lineRule="atLeast" w:line="320" w:before="120" w:after="120"/>
    </w:pPr>
    <w:rPr/>
  </w:style>
  <w:style w:type="paragraph" w:styleId="P27">
    <w:name w:val="Normal Table Text"/>
    <w:basedOn w:val="P0"/>
    <w:next w:val="P27"/>
    <w:pPr>
      <w:widowControl w:val="0"/>
      <w:spacing w:before="60" w:after="60"/>
    </w:pPr>
    <w:rPr>
      <w:rFonts w:ascii="Arial" w:hAnsi="Arial"/>
      <w:sz w:val="20"/>
    </w:rPr>
  </w:style>
  <w:style w:type="paragraph" w:styleId="P28">
    <w:name w:val="Table Heading"/>
    <w:basedOn w:val="P0"/>
    <w:next w:val="P28"/>
    <w:pPr>
      <w:widowControl w:val="0"/>
      <w:spacing w:before="60" w:after="60"/>
    </w:pPr>
    <w:rPr>
      <w:rFonts w:ascii="Arial" w:hAnsi="Arial"/>
      <w:b w:val="1"/>
      <w:sz w:val="20"/>
    </w:rPr>
  </w:style>
  <w:style w:type="paragraph" w:styleId="P29">
    <w:name w:val="Balloon Text"/>
    <w:basedOn w:val="P0"/>
    <w:next w:val="P29"/>
    <w:link w:val="C8"/>
    <w:pPr/>
    <w:rPr>
      <w:rFonts w:ascii="Tahoma" w:hAnsi="Tahoma"/>
      <w:sz w:val="16"/>
    </w:rPr>
  </w:style>
  <w:style w:type="paragraph" w:styleId="P30">
    <w:name w:val="Bullet"/>
    <w:basedOn w:val="P5"/>
    <w:next w:val="P5"/>
    <w:pPr/>
    <w:rPr/>
  </w:style>
  <w:style w:type="paragraph" w:styleId="P31">
    <w:name w:val="CSA"/>
    <w:basedOn w:val="P5"/>
    <w:next w:val="P37"/>
    <w:pPr>
      <w:keepNext w:val="1"/>
      <w:spacing w:after="0"/>
    </w:pPr>
    <w:rPr>
      <w:b w:val="1"/>
      <w:caps w:val="1"/>
      <w:sz w:val="20"/>
    </w:rPr>
  </w:style>
  <w:style w:type="paragraph" w:styleId="P32">
    <w:name w:val="Footnote Text"/>
    <w:basedOn w:val="P5"/>
    <w:next w:val="P32"/>
    <w:pPr>
      <w:spacing w:after="0"/>
    </w:pPr>
    <w:rPr>
      <w:rFonts w:ascii="Arial" w:hAnsi="Arial"/>
      <w:sz w:val="16"/>
    </w:rPr>
  </w:style>
  <w:style w:type="paragraph" w:styleId="P33">
    <w:name w:val="Number"/>
    <w:basedOn w:val="P5"/>
    <w:next w:val="P5"/>
    <w:pPr>
      <w:spacing w:after="0"/>
      <w:ind w:hanging="360" w:left="360"/>
    </w:pPr>
    <w:rPr/>
  </w:style>
  <w:style w:type="paragraph" w:styleId="P34">
    <w:name w:val="Tick"/>
    <w:basedOn w:val="P5"/>
    <w:next w:val="P5"/>
    <w:pPr>
      <w:spacing w:after="0"/>
      <w:ind w:hanging="360" w:left="720"/>
    </w:pPr>
    <w:rPr/>
  </w:style>
  <w:style w:type="paragraph" w:styleId="P35">
    <w:name w:val="TOC 1"/>
    <w:basedOn w:val="P5"/>
    <w:next w:val="P49"/>
    <w:pPr>
      <w:tabs>
        <w:tab w:val="right" w:pos="8640" w:leader="dot"/>
      </w:tabs>
      <w:spacing w:after="0"/>
    </w:pPr>
    <w:rPr>
      <w:b w:val="1"/>
    </w:rPr>
  </w:style>
  <w:style w:type="paragraph" w:styleId="P36">
    <w:name w:val="Comment Subject"/>
    <w:basedOn w:val="P6"/>
    <w:next w:val="P6"/>
    <w:pPr>
      <w:spacing w:before="0"/>
    </w:pPr>
    <w:rPr>
      <w:rFonts w:ascii="Book Antiqua" w:hAnsi="Book Antiqua"/>
      <w:b w:val="1"/>
      <w:sz w:val="20"/>
    </w:rPr>
  </w:style>
  <w:style w:type="paragraph" w:styleId="P37">
    <w:name w:val="Heading 1"/>
    <w:basedOn w:val="P8"/>
    <w:next w:val="P5"/>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38">
    <w:name w:val="Heading 2"/>
    <w:basedOn w:val="P8"/>
    <w:next w:val="P5"/>
    <w:qFormat/>
    <w:pPr>
      <w:keepNext w:val="1"/>
      <w:keepLines w:val="1"/>
      <w:numPr>
        <w:ilvl w:val="1"/>
        <w:numId w:val="3"/>
      </w:numPr>
      <w:tabs>
        <w:tab w:val="clear" w:pos="576" w:leader="none"/>
      </w:tabs>
      <w:spacing w:before="80"/>
      <w:ind w:hanging="720" w:left="720"/>
      <w:outlineLvl w:val="1"/>
    </w:pPr>
    <w:rPr>
      <w:rFonts w:ascii="Calibri" w:hAnsi="Calibri"/>
      <w:b w:val="0"/>
      <w:u w:val="single"/>
    </w:rPr>
  </w:style>
  <w:style w:type="paragraph" w:styleId="P39">
    <w:name w:val="Heading 3"/>
    <w:basedOn w:val="P8"/>
    <w:next w:val="P39"/>
    <w:link w:val="C7"/>
    <w:qFormat/>
    <w:pPr>
      <w:numPr>
        <w:ilvl w:val="2"/>
        <w:numId w:val="3"/>
      </w:numPr>
      <w:tabs>
        <w:tab w:val="clear" w:pos="720" w:leader="none"/>
      </w:tabs>
      <w:spacing w:before="80"/>
      <w:ind w:hanging="720" w:left="1440"/>
      <w:outlineLvl w:val="2"/>
    </w:pPr>
    <w:rPr>
      <w:rFonts w:ascii="Calibri" w:hAnsi="Calibri"/>
      <w:b w:val="0"/>
    </w:rPr>
  </w:style>
  <w:style w:type="paragraph" w:styleId="P40">
    <w:name w:val="Heading 4"/>
    <w:basedOn w:val="P8"/>
    <w:next w:val="P40"/>
    <w:qFormat/>
    <w:pPr>
      <w:numPr>
        <w:ilvl w:val="3"/>
        <w:numId w:val="3"/>
      </w:numPr>
      <w:tabs>
        <w:tab w:val="left" w:pos="5040" w:leader="none"/>
      </w:tabs>
      <w:outlineLvl w:val="3"/>
    </w:pPr>
    <w:rPr>
      <w:rFonts w:ascii="Arial" w:hAnsi="Arial"/>
      <w:b w:val="0"/>
    </w:rPr>
  </w:style>
  <w:style w:type="paragraph" w:styleId="P41">
    <w:name w:val="Heading 5"/>
    <w:basedOn w:val="P8"/>
    <w:next w:val="P41"/>
    <w:qFormat/>
    <w:pPr>
      <w:numPr>
        <w:ilvl w:val="4"/>
        <w:numId w:val="3"/>
      </w:numPr>
      <w:tabs>
        <w:tab w:val="clear" w:pos="720" w:leader="none"/>
        <w:tab w:val="left" w:pos="5760" w:leader="none"/>
      </w:tabs>
      <w:ind w:hanging="720" w:left="5760"/>
      <w:outlineLvl w:val="4"/>
    </w:pPr>
    <w:rPr>
      <w:rFonts w:ascii="Arial" w:hAnsi="Arial"/>
      <w:b w:val="0"/>
    </w:rPr>
  </w:style>
  <w:style w:type="paragraph" w:styleId="P42">
    <w:name w:val="Heading 6"/>
    <w:basedOn w:val="P8"/>
    <w:next w:val="P5"/>
    <w:qFormat/>
    <w:pPr>
      <w:numPr>
        <w:ilvl w:val="5"/>
        <w:numId w:val="3"/>
      </w:numPr>
      <w:tabs>
        <w:tab w:val="clear" w:pos="720" w:leader="none"/>
        <w:tab w:val="left" w:pos="6480" w:leader="none"/>
      </w:tabs>
      <w:ind w:hanging="720" w:left="6480"/>
      <w:outlineLvl w:val="5"/>
    </w:pPr>
    <w:rPr>
      <w:rFonts w:ascii="Arial" w:hAnsi="Arial"/>
      <w:b w:val="0"/>
    </w:rPr>
  </w:style>
  <w:style w:type="paragraph" w:styleId="P43">
    <w:name w:val="Caption"/>
    <w:basedOn w:val="P8"/>
    <w:next w:val="P0"/>
    <w:pPr>
      <w:keepNext w:val="1"/>
      <w:spacing w:after="240"/>
    </w:pPr>
    <w:rPr>
      <w:b w:val="0"/>
      <w:i w:val="1"/>
      <w:sz w:val="20"/>
    </w:rPr>
  </w:style>
  <w:style w:type="paragraph" w:styleId="P44">
    <w:name w:val="Exhibit--Number"/>
    <w:basedOn w:val="P8"/>
    <w:next w:val="P51"/>
    <w:pPr>
      <w:spacing w:before="160"/>
    </w:pPr>
    <w:rPr>
      <w:caps w:val="1"/>
      <w:sz w:val="18"/>
    </w:rPr>
  </w:style>
  <w:style w:type="paragraph" w:styleId="P45">
    <w:name w:val="Title"/>
    <w:basedOn w:val="P8"/>
    <w:next w:val="P45"/>
    <w:qFormat/>
    <w:pPr>
      <w:keepNext w:val="1"/>
      <w:spacing w:before="160" w:after="30"/>
    </w:pPr>
    <w:rPr>
      <w:sz w:val="20"/>
    </w:rPr>
  </w:style>
  <w:style w:type="paragraph" w:styleId="P46">
    <w:name w:val="Table Body"/>
    <w:basedOn w:val="P13"/>
    <w:next w:val="P46"/>
    <w:pPr>
      <w:jc w:val="left"/>
    </w:pPr>
    <w:rPr>
      <w:b w:val="0"/>
    </w:rPr>
  </w:style>
  <w:style w:type="paragraph" w:styleId="P47">
    <w:name w:val="Style9"/>
    <w:basedOn w:val="P25"/>
    <w:next w:val="P47"/>
    <w:pPr>
      <w:numPr>
        <w:numId w:val="13"/>
      </w:numPr>
      <w:tabs>
        <w:tab w:val="clear" w:pos="5760" w:leader="none"/>
      </w:tabs>
    </w:pPr>
    <w:rPr/>
  </w:style>
  <w:style w:type="paragraph" w:styleId="P48">
    <w:name w:val="List Bullet"/>
    <w:basedOn w:val="P30"/>
    <w:next w:val="P48"/>
    <w:pPr>
      <w:numPr>
        <w:numId w:val="2"/>
      </w:numPr>
    </w:pPr>
    <w:rPr/>
  </w:style>
  <w:style w:type="paragraph" w:styleId="P49">
    <w:name w:val="TOC 2"/>
    <w:basedOn w:val="P35"/>
    <w:next w:val="P53"/>
    <w:pPr>
      <w:tabs>
        <w:tab w:val="left" w:pos="1008" w:leader="none"/>
      </w:tabs>
      <w:ind w:left="720"/>
    </w:pPr>
    <w:rPr>
      <w:b w:val="0"/>
    </w:rPr>
  </w:style>
  <w:style w:type="paragraph" w:styleId="P50">
    <w:name w:val="Contents"/>
    <w:basedOn w:val="P37"/>
    <w:next w:val="P5"/>
    <w:pPr/>
    <w:rPr/>
  </w:style>
  <w:style w:type="paragraph" w:styleId="P51">
    <w:name w:val="Exhibit--Title"/>
    <w:basedOn w:val="P44"/>
    <w:next w:val="P54"/>
    <w:pPr>
      <w:spacing w:before="0"/>
    </w:pPr>
    <w:rPr>
      <w:b w:val="1"/>
      <w:caps w:val="0"/>
      <w:sz w:val="20"/>
    </w:rPr>
  </w:style>
  <w:style w:type="paragraph" w:styleId="P52">
    <w:name w:val="Table Notes"/>
    <w:basedOn w:val="P46"/>
    <w:next w:val="P52"/>
    <w:pPr>
      <w:spacing w:after="320"/>
    </w:pPr>
    <w:rPr/>
  </w:style>
  <w:style w:type="paragraph" w:styleId="P53">
    <w:name w:val="TOC 3"/>
    <w:basedOn w:val="P49"/>
    <w:next w:val="P53"/>
    <w:pPr>
      <w:tabs>
        <w:tab w:val="clear" w:pos="1008" w:leader="none"/>
        <w:tab w:val="left" w:pos="1728" w:leader="none"/>
      </w:tabs>
      <w:ind w:left="1440"/>
    </w:pPr>
    <w:rPr/>
  </w:style>
  <w:style w:type="paragraph" w:styleId="P54">
    <w:name w:val="Exhibit--Caption"/>
    <w:basedOn w:val="P51"/>
    <w:next w:val="P5"/>
    <w:pPr/>
    <w:rPr>
      <w:i w:val="1"/>
    </w:rPr>
  </w:style>
  <w:style w:type="paragraph" w:styleId="P55">
    <w:name w:val="TOC 4"/>
    <w:basedOn w:val="P53"/>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9"/>
    <w:rPr>
      <w:rFonts w:ascii="Calibri" w:hAnsi="Calibri"/>
      <w:b w:val="0"/>
    </w:rPr>
  </w:style>
  <w:style w:type="character" w:styleId="C8">
    <w:name w:val="Balloon Text Char"/>
    <w:link w:val="P29"/>
    <w:rPr>
      <w:rFonts w:ascii="Tahoma" w:hAnsi="Tahoma"/>
      <w:sz w:val="16"/>
    </w:rPr>
  </w:style>
  <w:style w:type="character" w:styleId="C9">
    <w:name w:val="Comment Text Char"/>
    <w:link w:val="P6"/>
    <w:rPr>
      <w:rFonts w:ascii="Arial" w:hAnsi="Arial"/>
    </w:rPr>
  </w:style>
  <w:style w:type="character" w:styleId="C10">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2015-04-21T14:27:00Z</dcterms:created>
  <cp:lastModifiedBy>Ray</cp:lastModifiedBy>
  <cp:lastPrinted>2006-08-30T12:52:00Z</cp:lastPrinted>
  <dcterms:modified xsi:type="dcterms:W3CDTF">2022-10-04T19:38:53Z</dcterms:modified>
  <cp:revision>10</cp:revision>
  <dc:title>13270 Radar Level Transmitter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112100.000000000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