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55A2F84" Type="http://schemas.openxmlformats.org/officeDocument/2006/relationships/officeDocument" Target="word/document.xml"/><Relationship Id="coreR655A2F84" Type="http://schemas.openxmlformats.org/package/2006/relationships/metadata/core-properties" Target="docProps/core.xml"/><Relationship Id="customR655A2F8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Consultants</w:t>
      </w:r>
      <w:r>
        <w:rPr>
          <w:rFonts w:ascii="Calibri" w:hAnsi="Calibri"/>
          <w:b w:val="1"/>
          <w:highlight w:val="yellow"/>
        </w:rPr>
        <w:t xml:space="preserve"> is responsible for the correct application of the specifications and for updating and modifying all highlighted items, as well as </w:t>
      </w:r>
      <w:r>
        <w:rPr>
          <w:rFonts w:ascii="Calibri" w:hAnsi="Calibri"/>
          <w:b w:val="1"/>
          <w:highlight w:val="yellow"/>
        </w:rPr>
        <w:t>updating and modifying those sections that are dir</w:t>
      </w:r>
      <w:r>
        <w:rPr>
          <w:rFonts w:ascii="Calibri" w:hAnsi="Calibri"/>
          <w:b w:val="1"/>
          <w:highlight w:val="yellow"/>
        </w:rPr>
        <w:t xml:space="preserve">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w:t>
      </w:r>
      <w:r>
        <w:rPr>
          <w:rFonts w:ascii="Calibri" w:hAnsi="Calibri"/>
          <w:b w:val="1"/>
        </w:rPr>
        <w:t>py is the current version of the document.</w:t>
      </w:r>
    </w:p>
    <w:p>
      <w:pPr>
        <w:pStyle w:val="P34"/>
      </w:pPr>
      <w:r>
        <w:br w:type="page"/>
        <w:t>GENERAL</w:t>
      </w:r>
    </w:p>
    <w:p>
      <w:pPr>
        <w:pStyle w:val="P35"/>
      </w:pPr>
      <w:r>
        <w:t>General</w:t>
      </w:r>
    </w:p>
    <w:p>
      <w:pPr>
        <w:pStyle w:val="P36"/>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6"/>
      </w:pPr>
      <w:r>
        <w:t>The contractor is to clearly identify on the shop drawings any deviation from the specification.</w:t>
      </w:r>
    </w:p>
    <w:p>
      <w:pPr>
        <w:pStyle w:val="P36"/>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6"/>
      </w:pPr>
      <w:r>
        <w:t>Contractor is to furnish copies of the manufacturer’s warranties.</w:t>
      </w:r>
    </w:p>
    <w:p>
      <w:pPr>
        <w:pStyle w:val="P36"/>
      </w:pPr>
      <w:r>
        <w:t>Contractor is to provide, through the Instrumentation Supplier, temperature transmitters, complete and operable, in accordance with the Contract Documents.</w:t>
      </w:r>
    </w:p>
    <w:p>
      <w:pPr>
        <w:pStyle w:val="P35"/>
      </w:pPr>
      <w:r>
        <w:t>Measurement and Payment</w:t>
      </w:r>
    </w:p>
    <w:p>
      <w:pPr>
        <w:pStyle w:val="P36"/>
      </w:pPr>
      <w:r>
        <w:t>The work outlined in this section shall be included in the lump sum price for Section 13160 – Temperature Transmitter as indicated in the Bid Form.</w:t>
      </w:r>
    </w:p>
    <w:p>
      <w:pPr>
        <w:pStyle w:val="P35"/>
      </w:pPr>
      <w:bookmarkStart w:id="0" w:name="_Toc16655582"/>
      <w:r>
        <w:t>Sensor</w:t>
      </w:r>
      <w:bookmarkEnd w:id="0"/>
    </w:p>
    <w:p>
      <w:pPr>
        <w:pStyle w:val="P36"/>
      </w:pPr>
      <w:r>
        <w:t>Use dual element, 3-wire RTDs. Use &gt;= 99.99% pure platinum wire wound about a ceramic or glass core and hermetically sealed within a ceramic or glass capsule.</w:t>
      </w:r>
    </w:p>
    <w:p>
      <w:pPr>
        <w:pStyle w:val="P37"/>
      </w:pPr>
      <w:r>
        <w:t>Three-wire lead configuration for ambient temperature compensation shall be provided.</w:t>
      </w:r>
    </w:p>
    <w:p>
      <w:pPr>
        <w:pStyle w:val="P37"/>
      </w:pPr>
      <w:r>
        <w:t>Insertion type RTDs shall be 100 ohms nominal at 0 degree C, tip-sensitive, three-wire platinum in 0.25-inch Type 316 stainless steel sheath with watertight potting.</w:t>
      </w:r>
    </w:p>
    <w:p>
      <w:pPr>
        <w:pStyle w:val="P36"/>
      </w:pPr>
      <w:r>
        <w:t>Provide insulation between leads and the probe housing using ceramic oxide insulation.</w:t>
      </w:r>
    </w:p>
    <w:p>
      <w:pPr>
        <w:pStyle w:val="P35"/>
      </w:pPr>
      <w:bookmarkStart w:id="1" w:name="_Toc16655583"/>
      <w:r>
        <w:t>Transmitter</w:t>
      </w:r>
      <w:bookmarkEnd w:id="1"/>
    </w:p>
    <w:p>
      <w:pPr>
        <w:pStyle w:val="P36"/>
      </w:pPr>
      <w:r>
        <w:t>Match the transmitter to the sensor type.</w:t>
      </w:r>
    </w:p>
    <w:p>
      <w:pPr>
        <w:pStyle w:val="P36"/>
      </w:pPr>
      <w:r>
        <w:t>Unless shown otherwise, provide a temperature transmitter for each temperature sensor.</w:t>
      </w:r>
    </w:p>
    <w:p>
      <w:pPr>
        <w:pStyle w:val="P36"/>
      </w:pPr>
      <w:r>
        <w:t xml:space="preserve">Provide RTD break protection to be selectable either up or down scale.  Provide accessible zero and span adjustment controls.</w:t>
      </w:r>
    </w:p>
    <w:p>
      <w:pPr>
        <w:pStyle w:val="P36"/>
      </w:pPr>
      <w:r>
        <w:t>Unless shown otherwise, provide a temperature indicator display integral to the transmitter.</w:t>
      </w:r>
    </w:p>
    <w:p>
      <w:pPr>
        <w:pStyle w:val="P36"/>
      </w:pPr>
      <w:r>
        <w:t xml:space="preserve">Equipment tag wired to transmitter in accordance with </w:t>
      </w:r>
      <w:r>
        <w:rPr>
          <w:highlight w:val="yellow"/>
        </w:rPr>
        <w:t>Section 01080 – Process Equipment Location Tagging</w:t>
      </w:r>
      <w:r>
        <w:t>.</w:t>
      </w:r>
    </w:p>
    <w:p>
      <w:pPr>
        <w:pStyle w:val="P35"/>
      </w:pPr>
      <w:bookmarkStart w:id="2" w:name="_Toc16655584"/>
      <w:r>
        <w:t>Thermowell</w:t>
      </w:r>
      <w:bookmarkEnd w:id="2"/>
    </w:p>
    <w:p>
      <w:pPr>
        <w:pStyle w:val="P36"/>
      </w:pPr>
      <w:r>
        <w:t>Unless otherwise shown, provide a thermowell conforming to the following requirements matching the sensor:</w:t>
      </w:r>
    </w:p>
    <w:p>
      <w:pPr>
        <w:pStyle w:val="P37"/>
      </w:pPr>
      <w:r>
        <w:t>Thermo well construction of 316 stainless steel or Inconel 600.</w:t>
      </w:r>
    </w:p>
    <w:p>
      <w:pPr>
        <w:pStyle w:val="P37"/>
      </w:pPr>
      <w:r>
        <w:t xml:space="preserve">Provide appropriate length for necessary immersion length and mounting requirements.  For pipes, provide approximately 1/3 pipe diameter immersion depth plus 75 mm (3 inch) extension.</w:t>
      </w:r>
    </w:p>
    <w:p>
      <w:pPr>
        <w:pStyle w:val="P37"/>
      </w:pPr>
      <w:r>
        <w:t>Provide with standard NPT fitting or standard flange at the cold end of the thermo well.</w:t>
      </w:r>
    </w:p>
    <w:p>
      <w:pPr>
        <w:pStyle w:val="P37"/>
      </w:pPr>
      <w:r>
        <w:t>Provide a NEMA 7 RTD/thermocouple junction head with a screw termination block to handle necessary connections for sensor lead wires and a ground terminal for shield grounding.</w:t>
      </w:r>
    </w:p>
    <w:p>
      <w:pPr>
        <w:pStyle w:val="P37"/>
      </w:pPr>
      <w:r>
        <w:t>Wells to be used with remote-mounted vapour pressure sensor bulbs are to include a 316 stainless steel ½ inch NPT split nut and rubber grommet to hold the sensor bulb in the well.</w:t>
      </w:r>
    </w:p>
    <w:p>
      <w:pPr>
        <w:pStyle w:val="P34"/>
      </w:pPr>
      <w:bookmarkStart w:id="3" w:name="_Toc15372463"/>
      <w:bookmarkStart w:id="4" w:name="_Toc16655585"/>
      <w:r>
        <w:t>INSTALLATION</w:t>
      </w:r>
      <w:bookmarkEnd w:id="3"/>
      <w:bookmarkEnd w:id="4"/>
    </w:p>
    <w:p>
      <w:pPr>
        <w:pStyle w:val="P35"/>
      </w:pPr>
      <w:bookmarkStart w:id="5" w:name="_Toc15372464"/>
      <w:bookmarkStart w:id="6" w:name="_Toc16655586"/>
      <w:r>
        <w:t>General</w:t>
      </w:r>
      <w:bookmarkEnd w:id="5"/>
      <w:bookmarkEnd w:id="6"/>
    </w:p>
    <w:p>
      <w:pPr>
        <w:pStyle w:val="P36"/>
      </w:pPr>
      <w:r>
        <w:t>The following installation requirements are in addition to or deviations from the requirements set forth for instrumentation in Section 13105 – Process Control: General Instrumentation Standard.</w:t>
      </w:r>
    </w:p>
    <w:p>
      <w:pPr>
        <w:pStyle w:val="P37"/>
      </w:pPr>
      <w:r>
        <w:t>Wire to allow easy withdrawal of the sensor assembly for maintenance.</w:t>
      </w:r>
    </w:p>
    <w:p>
      <w:pPr>
        <w:pStyle w:val="P37"/>
      </w:pPr>
      <w:r>
        <w:t>Provide suitable armored cable from sensor head to conduit.</w:t>
      </w:r>
    </w:p>
    <w:p>
      <w:pPr>
        <w:pStyle w:val="P37"/>
      </w:pPr>
      <w:r>
        <w:t>Provide a thermo well where measuring temperature in a pressurized pipe.</w:t>
      </w:r>
    </w:p>
    <w:p>
      <w:pPr>
        <w:pStyle w:val="P37"/>
        <w:rPr>
          <w:color w:val="000000"/>
        </w:rPr>
      </w:pPr>
      <w:r>
        <w:t xml:space="preserve">Transmitter/Electronics not mounted/installed indoors must be installed within fiberglass enclosure with viewing window, thermostat and heater.  Panel heater to be powered from separate circuit than instrument.</w:t>
      </w:r>
    </w:p>
    <w:p>
      <w:pPr>
        <w:pStyle w:val="P34"/>
      </w:pPr>
      <w:bookmarkStart w:id="7" w:name="_Toc16568127"/>
      <w:bookmarkStart w:id="8" w:name="_Toc16565145"/>
      <w:bookmarkStart w:id="9" w:name="_Toc16561606"/>
      <w:bookmarkStart w:id="10" w:name="_Toc16655588"/>
      <w:r>
        <w:t>ACCEPTABLE MANUFACTURERS</w:t>
      </w:r>
      <w:bookmarkEnd w:id="7"/>
    </w:p>
    <w:p>
      <w:pPr>
        <w:pStyle w:val="P36"/>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6"/>
        <w:numPr>
          <w:ilvl w:val="2"/>
          <w:numId w:val="0"/>
        </w:numPr>
        <w:ind w:left="720"/>
      </w:pPr>
    </w:p>
    <w:tbl>
      <w:tblPr>
        <w:tblStyle w:val="T2"/>
        <w:tblW w:w="0" w:type="auto"/>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86"/>
              <w:jc w:val="center"/>
            </w:pPr>
            <w:r>
              <w:t>Preference</w:t>
            </w:r>
          </w:p>
        </w:tc>
        <w:tc>
          <w:tcPr>
            <w:tcW w:w="309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86"/>
              <w:jc w:val="center"/>
            </w:pPr>
            <w:r>
              <w:t>Manufacturer</w:t>
            </w:r>
          </w:p>
        </w:tc>
        <w:tc>
          <w:tcPr>
            <w:tcW w:w="295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86"/>
              <w:jc w:val="center"/>
            </w:pPr>
            <w:r>
              <w:t>Model</w:t>
            </w:r>
          </w:p>
        </w:tc>
      </w:tr>
      <w:tr>
        <w:trPr>
          <w:wAfter w:w="0" w:type="dxa"/>
        </w:trPr>
        <w:tc>
          <w:tcPr>
            <w:tcW w:w="2638" w:type="dxa"/>
            <w:tcBorders>
              <w:top w:val="single" w:sz="18" w:space="0" w:shadow="0" w:frame="0" w:color="000000"/>
            </w:tcBorders>
          </w:tcPr>
          <w:p>
            <w:pPr>
              <w:pStyle w:val="P37"/>
              <w:numPr>
                <w:ilvl w:val="3"/>
                <w:numId w:val="0"/>
              </w:numPr>
              <w:ind w:left="186"/>
              <w:jc w:val="center"/>
            </w:pPr>
            <w:r>
              <w:t>1</w:t>
            </w:r>
          </w:p>
        </w:tc>
        <w:tc>
          <w:tcPr>
            <w:tcW w:w="3093" w:type="dxa"/>
            <w:tcBorders>
              <w:top w:val="single" w:sz="18" w:space="0" w:shadow="0" w:frame="0" w:color="000000"/>
            </w:tcBorders>
          </w:tcPr>
          <w:p>
            <w:pPr>
              <w:pStyle w:val="P37"/>
              <w:numPr>
                <w:ilvl w:val="3"/>
                <w:numId w:val="0"/>
              </w:numPr>
              <w:ind w:left="186"/>
              <w:jc w:val="center"/>
            </w:pPr>
            <w:r>
              <w:t>Rosemount</w:t>
            </w:r>
          </w:p>
        </w:tc>
        <w:tc>
          <w:tcPr>
            <w:tcW w:w="2956" w:type="dxa"/>
            <w:tcBorders>
              <w:top w:val="single" w:sz="18" w:space="0" w:shadow="0" w:frame="0" w:color="000000"/>
            </w:tcBorders>
          </w:tcPr>
          <w:p>
            <w:pPr>
              <w:pStyle w:val="P37"/>
              <w:numPr>
                <w:ilvl w:val="3"/>
                <w:numId w:val="0"/>
              </w:numPr>
              <w:ind w:left="186"/>
              <w:jc w:val="center"/>
            </w:pPr>
            <w:r>
              <w:t>644</w:t>
            </w:r>
          </w:p>
        </w:tc>
      </w:tr>
      <w:tr>
        <w:trPr>
          <w:wAfter w:w="0" w:type="dxa"/>
        </w:trPr>
        <w:tc>
          <w:tcPr>
            <w:tcW w:w="2638" w:type="dxa"/>
          </w:tcPr>
          <w:p>
            <w:pPr>
              <w:pStyle w:val="P37"/>
              <w:numPr>
                <w:ilvl w:val="3"/>
                <w:numId w:val="0"/>
              </w:numPr>
              <w:ind w:left="186"/>
              <w:jc w:val="center"/>
            </w:pPr>
            <w:r>
              <w:t>2</w:t>
            </w:r>
          </w:p>
        </w:tc>
        <w:tc>
          <w:tcPr>
            <w:tcW w:w="3093" w:type="dxa"/>
          </w:tcPr>
          <w:p>
            <w:pPr>
              <w:pStyle w:val="P37"/>
              <w:numPr>
                <w:ilvl w:val="3"/>
                <w:numId w:val="0"/>
              </w:numPr>
              <w:ind w:left="186"/>
              <w:jc w:val="center"/>
            </w:pPr>
            <w:r>
              <w:t>Endress+Hauser</w:t>
            </w:r>
          </w:p>
        </w:tc>
        <w:tc>
          <w:tcPr>
            <w:tcW w:w="2956" w:type="dxa"/>
          </w:tcPr>
          <w:p>
            <w:pPr>
              <w:pStyle w:val="P37"/>
              <w:numPr>
                <w:ilvl w:val="3"/>
                <w:numId w:val="0"/>
              </w:numPr>
              <w:ind w:left="186"/>
              <w:jc w:val="center"/>
            </w:pPr>
            <w:r>
              <w:t>TH13</w:t>
            </w:r>
          </w:p>
        </w:tc>
      </w:tr>
      <w:tr>
        <w:trPr>
          <w:wAfter w:w="0" w:type="dxa"/>
        </w:trPr>
        <w:tc>
          <w:tcPr>
            <w:tcW w:w="2638" w:type="dxa"/>
          </w:tcPr>
          <w:p>
            <w:pPr>
              <w:pStyle w:val="P37"/>
              <w:numPr>
                <w:ilvl w:val="3"/>
                <w:numId w:val="0"/>
              </w:numPr>
              <w:ind w:left="186"/>
              <w:jc w:val="center"/>
            </w:pPr>
            <w:r>
              <w:t>3</w:t>
            </w:r>
          </w:p>
        </w:tc>
        <w:tc>
          <w:tcPr>
            <w:tcW w:w="3093" w:type="dxa"/>
          </w:tcPr>
          <w:p>
            <w:pPr>
              <w:pStyle w:val="P37"/>
              <w:numPr>
                <w:ilvl w:val="3"/>
                <w:numId w:val="0"/>
              </w:numPr>
              <w:ind w:left="186"/>
              <w:jc w:val="center"/>
            </w:pPr>
          </w:p>
        </w:tc>
        <w:tc>
          <w:tcPr>
            <w:tcW w:w="2956" w:type="dxa"/>
          </w:tcPr>
          <w:p>
            <w:pPr>
              <w:pStyle w:val="P37"/>
              <w:numPr>
                <w:ilvl w:val="3"/>
                <w:numId w:val="0"/>
              </w:numPr>
              <w:ind w:left="186"/>
              <w:jc w:val="center"/>
            </w:pPr>
          </w:p>
        </w:tc>
      </w:tr>
    </w:tbl>
    <w:p>
      <w:pPr>
        <w:pStyle w:val="P36"/>
      </w:pPr>
      <w:bookmarkEnd w:id="8"/>
      <w:bookmarkEnd w:id="9"/>
      <w:r>
        <w:t>The Contractor is to select the appropriate options to suit the application and the requirements of the specification.</w:t>
      </w:r>
    </w:p>
    <w:p>
      <w:pPr>
        <w:pStyle w:val="P36"/>
      </w:pPr>
      <w:r>
        <w:t>Where second and third named manufacturers are provided, they are to meet the performance specifications of the first named manufacturer.</w:t>
      </w:r>
    </w:p>
    <w:p>
      <w:pPr>
        <w:pStyle w:val="P35"/>
        <w:numPr>
          <w:ilvl w:val="1"/>
          <w:numId w:val="19"/>
        </w:numPr>
      </w:pPr>
      <w:r>
        <w:t>Temperature Transmitters</w:t>
      </w:r>
      <w:bookmarkEnd w:id="10"/>
    </w:p>
    <w:p>
      <w:pPr>
        <w:pStyle w:val="P4"/>
        <w:rPr>
          <w:rFonts w:ascii="Calibri" w:hAnsi="Calibri"/>
        </w:rPr>
      </w:pPr>
      <w:r>
        <w:rPr>
          <w:rFonts w:ascii="Calibri" w:hAnsi="Calibri"/>
        </w:rPr>
        <w:t>First Named Manufacturer:</w:t>
      </w:r>
    </w:p>
    <w:tbl>
      <w:tblPr>
        <w:tblStyle w:val="T2"/>
        <w:tblW w:w="812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60"/>
        </w:trPr>
        <w:tc>
          <w:tcPr>
            <w:tcW w:w="288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5244" w:type="dxa"/>
            <w:vAlign w:val="center"/>
          </w:tcPr>
          <w:p>
            <w:pPr>
              <w:jc w:val="center"/>
              <w:rPr>
                <w:rFonts w:ascii="Calibri" w:hAnsi="Calibri"/>
                <w:color w:val="000000"/>
                <w:highlight w:val="yellow"/>
              </w:rPr>
            </w:pPr>
            <w:r>
              <w:rPr>
                <w:rFonts w:ascii="Calibri" w:hAnsi="Calibri"/>
                <w:color w:val="000000"/>
                <w:highlight w:val="yellow"/>
              </w:rPr>
              <w:t>Liquid</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524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5244"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5244" w:type="dxa"/>
            <w:vAlign w:val="center"/>
          </w:tcPr>
          <w:p>
            <w:pPr>
              <w:jc w:val="center"/>
              <w:rPr>
                <w:rFonts w:ascii="Calibri" w:hAnsi="Calibri"/>
                <w:color w:val="000000"/>
                <w:highlight w:val="yellow"/>
              </w:rPr>
            </w:pPr>
            <w:r>
              <w:rPr>
                <w:rFonts w:ascii="Calibri" w:hAnsi="Calibri"/>
                <w:color w:val="000000"/>
                <w:highlight w:val="yellow"/>
              </w:rPr>
              <w:t>13160A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Product:</w:t>
            </w:r>
          </w:p>
        </w:tc>
        <w:tc>
          <w:tcPr>
            <w:tcW w:w="5244" w:type="dxa"/>
            <w:vAlign w:val="center"/>
          </w:tcPr>
          <w:p>
            <w:pPr>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5244" w:type="dxa"/>
            <w:vAlign w:val="center"/>
          </w:tcPr>
          <w:p>
            <w:pPr>
              <w:jc w:val="center"/>
              <w:rPr>
                <w:rFonts w:ascii="Calibri" w:hAnsi="Calibri"/>
                <w:color w:val="000000"/>
                <w:highlight w:val="yellow"/>
              </w:rPr>
            </w:pPr>
            <w:r>
              <w:rPr>
                <w:rFonts w:ascii="Calibri" w:hAnsi="Calibri"/>
                <w:color w:val="000000"/>
                <w:highlight w:val="yellow"/>
              </w:rPr>
              <w:t xml:space="preserve">0-30 </w:t>
            </w:r>
            <w:r>
              <w:rPr>
                <w:rFonts w:ascii="Calibri" w:hAnsi="Calibri"/>
                <w:color w:val="000000"/>
                <w:highlight w:val="yellow"/>
                <w:vertAlign w:val="superscript"/>
              </w:rPr>
              <w:t>o</w:t>
            </w:r>
            <w:r>
              <w:rPr>
                <w:rFonts w:ascii="Calibri" w:hAnsi="Calibri"/>
                <w:color w:val="000000"/>
                <w:highlight w:val="yellow"/>
              </w:rPr>
              <w:t>C</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 min/max:</w:t>
            </w:r>
          </w:p>
        </w:tc>
        <w:tc>
          <w:tcPr>
            <w:tcW w:w="5244" w:type="dxa"/>
            <w:vAlign w:val="center"/>
          </w:tcPr>
          <w:p>
            <w:pPr>
              <w:jc w:val="center"/>
              <w:rPr>
                <w:rFonts w:ascii="Calibri" w:hAnsi="Calibri"/>
                <w:color w:val="000000"/>
                <w:highlight w:val="yellow"/>
              </w:rPr>
            </w:pPr>
            <w:r>
              <w:rPr>
                <w:rFonts w:ascii="Calibri" w:hAnsi="Calibri"/>
                <w:color w:val="000000"/>
                <w:highlight w:val="yellow"/>
              </w:rPr>
              <w:t>0 - 300 kPa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Flow min/max:</w:t>
            </w:r>
          </w:p>
        </w:tc>
        <w:tc>
          <w:tcPr>
            <w:tcW w:w="5244" w:type="dxa"/>
            <w:vAlign w:val="center"/>
          </w:tcPr>
          <w:p>
            <w:pPr>
              <w:jc w:val="center"/>
              <w:rPr>
                <w:rFonts w:ascii="Calibri" w:hAnsi="Calibri"/>
                <w:color w:val="000000"/>
                <w:highlight w:val="yellow"/>
              </w:rPr>
            </w:pPr>
            <w:r>
              <w:rPr>
                <w:rFonts w:ascii="Calibri" w:hAnsi="Calibri"/>
                <w:color w:val="000000"/>
                <w:highlight w:val="yellow"/>
              </w:rPr>
              <w:t>0 - 150,000 m</w:t>
            </w:r>
            <w:r>
              <w:rPr>
                <w:rFonts w:ascii="Calibri" w:hAnsi="Calibri"/>
                <w:color w:val="000000"/>
                <w:highlight w:val="yellow"/>
                <w:vertAlign w:val="superscript"/>
              </w:rPr>
              <w:t>3</w:t>
            </w:r>
            <w:r>
              <w:rPr>
                <w:rFonts w:ascii="Calibri" w:hAnsi="Calibri"/>
                <w:color w:val="000000"/>
                <w:highlight w:val="yellow"/>
              </w:rPr>
              <w:t>/day</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Line Size:</w:t>
            </w:r>
          </w:p>
        </w:tc>
        <w:tc>
          <w:tcPr>
            <w:tcW w:w="5244" w:type="dxa"/>
            <w:vAlign w:val="center"/>
          </w:tcPr>
          <w:p>
            <w:pPr>
              <w:jc w:val="center"/>
              <w:rPr>
                <w:rFonts w:ascii="Calibri" w:hAnsi="Calibri"/>
                <w:color w:val="000000"/>
                <w:highlight w:val="yellow"/>
              </w:rPr>
            </w:pPr>
            <w:r>
              <w:rPr>
                <w:rFonts w:ascii="Calibri" w:hAnsi="Calibri"/>
                <w:color w:val="000000"/>
                <w:highlight w:val="yellow"/>
              </w:rPr>
              <w:t>900 mm</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Sensor Device Data:</w:t>
            </w:r>
          </w:p>
        </w:tc>
        <w:tc>
          <w:tcPr>
            <w:tcW w:w="524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b w:val="1"/>
                <w:u w:val="single"/>
                <w:highlight w:val="yellow"/>
              </w:rPr>
            </w:pPr>
            <w:r>
              <w:rPr>
                <w:rFonts w:ascii="Calibri" w:hAnsi="Calibri"/>
              </w:rPr>
              <w:t>Model:</w:t>
            </w:r>
          </w:p>
        </w:tc>
        <w:tc>
          <w:tcPr>
            <w:tcW w:w="5244" w:type="dxa"/>
            <w:vAlign w:val="center"/>
          </w:tcPr>
          <w:p>
            <w:pPr>
              <w:jc w:val="center"/>
              <w:rPr>
                <w:rFonts w:ascii="Calibri" w:hAnsi="Calibri"/>
                <w:color w:val="000000"/>
                <w:highlight w:val="yellow"/>
              </w:rPr>
            </w:pPr>
            <w:r>
              <w:rPr>
                <w:rFonts w:ascii="Calibri" w:hAnsi="Calibri"/>
                <w:color w:val="000000"/>
                <w:highlight w:val="yellow"/>
              </w:rPr>
              <w:t>Resistance Thermometer, Pt 100 Ohm RTD Standard with Tubular Thermowell</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b w:val="1"/>
                <w:u w:val="single"/>
                <w:highlight w:val="yellow"/>
              </w:rPr>
            </w:pPr>
            <w:r>
              <w:rPr>
                <w:rFonts w:ascii="Calibri" w:hAnsi="Calibri"/>
              </w:rPr>
              <w:t>Connection Head:</w:t>
            </w:r>
          </w:p>
        </w:tc>
        <w:tc>
          <w:tcPr>
            <w:tcW w:w="5244" w:type="dxa"/>
            <w:vAlign w:val="center"/>
          </w:tcPr>
          <w:p>
            <w:pPr>
              <w:jc w:val="center"/>
              <w:rPr>
                <w:rFonts w:ascii="Calibri" w:hAnsi="Calibri"/>
                <w:color w:val="000000"/>
                <w:highlight w:val="yellow"/>
              </w:rPr>
            </w:pPr>
            <w:r>
              <w:rPr>
                <w:rFonts w:ascii="Calibri" w:hAnsi="Calibri"/>
                <w:color w:val="000000"/>
                <w:highlight w:val="yellow"/>
              </w:rPr>
              <w:t>Rosemount Aluminum, ½” NPT</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Sensor Lead Termination:</w:t>
            </w:r>
          </w:p>
        </w:tc>
        <w:tc>
          <w:tcPr>
            <w:tcW w:w="5244" w:type="dxa"/>
            <w:vAlign w:val="center"/>
          </w:tcPr>
          <w:p>
            <w:pPr>
              <w:jc w:val="center"/>
              <w:rPr>
                <w:rFonts w:ascii="Calibri" w:hAnsi="Calibri"/>
                <w:color w:val="000000"/>
                <w:highlight w:val="yellow"/>
              </w:rPr>
            </w:pPr>
            <w:r>
              <w:rPr>
                <w:rFonts w:ascii="Calibri" w:hAnsi="Calibri"/>
                <w:color w:val="000000"/>
                <w:highlight w:val="yellow"/>
              </w:rPr>
              <w:t>Flying Leads – No Springs on DIN Plate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Sensor Type:</w:t>
            </w:r>
          </w:p>
        </w:tc>
        <w:tc>
          <w:tcPr>
            <w:tcW w:w="5244" w:type="dxa"/>
            <w:vAlign w:val="center"/>
          </w:tcPr>
          <w:p>
            <w:pPr>
              <w:jc w:val="center"/>
              <w:rPr>
                <w:rFonts w:ascii="Calibri" w:hAnsi="Calibri"/>
                <w:color w:val="000000"/>
                <w:highlight w:val="yellow"/>
              </w:rPr>
            </w:pPr>
            <w:r>
              <w:rPr>
                <w:rFonts w:ascii="Calibri" w:hAnsi="Calibri"/>
                <w:color w:val="000000"/>
                <w:highlight w:val="yellow"/>
              </w:rPr>
              <w:t>RTD, Dual Element, 3-wire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Extension:</w:t>
            </w:r>
          </w:p>
        </w:tc>
        <w:tc>
          <w:tcPr>
            <w:tcW w:w="5244" w:type="dxa"/>
            <w:vAlign w:val="center"/>
          </w:tcPr>
          <w:p>
            <w:pPr>
              <w:jc w:val="center"/>
              <w:rPr>
                <w:rFonts w:ascii="Calibri" w:hAnsi="Calibri"/>
                <w:color w:val="000000"/>
                <w:highlight w:val="yellow"/>
              </w:rPr>
            </w:pPr>
            <w:r>
              <w:rPr>
                <w:rFonts w:ascii="Calibri" w:hAnsi="Calibri"/>
                <w:color w:val="000000"/>
                <w:highlight w:val="yellow"/>
              </w:rPr>
              <w:t>Tubular, No Extension – form GN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Extension Length (mm):</w:t>
            </w:r>
          </w:p>
        </w:tc>
        <w:tc>
          <w:tcPr>
            <w:tcW w:w="5244" w:type="dxa"/>
            <w:vAlign w:val="center"/>
          </w:tcPr>
          <w:p>
            <w:pPr>
              <w:jc w:val="center"/>
              <w:rPr>
                <w:rFonts w:ascii="Calibri" w:hAnsi="Calibri"/>
                <w:color w:val="000000"/>
                <w:highlight w:val="yellow"/>
              </w:rPr>
            </w:pPr>
            <w:r>
              <w:rPr>
                <w:rFonts w:ascii="Calibri" w:hAnsi="Calibri"/>
                <w:color w:val="000000"/>
                <w:highlight w:val="yellow"/>
              </w:rPr>
              <w:t>No Extension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Thermowell Material:</w:t>
            </w:r>
          </w:p>
        </w:tc>
        <w:tc>
          <w:tcPr>
            <w:tcW w:w="5244" w:type="dxa"/>
            <w:vAlign w:val="center"/>
          </w:tcPr>
          <w:p>
            <w:pPr>
              <w:jc w:val="center"/>
              <w:rPr>
                <w:rFonts w:ascii="Calibri" w:hAnsi="Calibri"/>
                <w:color w:val="000000"/>
                <w:highlight w:val="yellow"/>
              </w:rPr>
            </w:pPr>
            <w:r>
              <w:rPr>
                <w:rFonts w:ascii="Calibri" w:hAnsi="Calibri"/>
                <w:color w:val="000000"/>
                <w:highlight w:val="yellow"/>
              </w:rPr>
              <w:t>1.457 (AISI 316Ti)</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Immersion Length (mm)</w:t>
            </w:r>
          </w:p>
        </w:tc>
        <w:tc>
          <w:tcPr>
            <w:tcW w:w="5244" w:type="dxa"/>
            <w:vAlign w:val="center"/>
          </w:tcPr>
          <w:p>
            <w:pPr>
              <w:jc w:val="center"/>
              <w:rPr>
                <w:rFonts w:ascii="Calibri" w:hAnsi="Calibri"/>
                <w:color w:val="000000"/>
                <w:highlight w:val="yellow"/>
              </w:rPr>
            </w:pPr>
            <w:r>
              <w:rPr>
                <w:rFonts w:ascii="Calibri" w:hAnsi="Calibri"/>
                <w:color w:val="000000"/>
                <w:highlight w:val="yellow"/>
              </w:rPr>
              <w:t>115 mm</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 Style:</w:t>
            </w:r>
          </w:p>
        </w:tc>
        <w:tc>
          <w:tcPr>
            <w:tcW w:w="5244" w:type="dxa"/>
            <w:vAlign w:val="center"/>
          </w:tcPr>
          <w:p>
            <w:pPr>
              <w:jc w:val="center"/>
              <w:rPr>
                <w:rFonts w:ascii="Calibri" w:hAnsi="Calibri"/>
                <w:color w:val="000000"/>
                <w:highlight w:val="yellow"/>
              </w:rPr>
            </w:pPr>
            <w:r>
              <w:rPr>
                <w:rFonts w:ascii="Calibri" w:hAnsi="Calibri"/>
                <w:color w:val="000000"/>
                <w:highlight w:val="yellow"/>
              </w:rPr>
              <w:t>Thread, Tapered, ½” NPT, Stepped NAMUR</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524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Cover Chain Option</w:t>
            </w:r>
          </w:p>
        </w:tc>
        <w:tc>
          <w:tcPr>
            <w:tcW w:w="5244" w:type="dxa"/>
            <w:vAlign w:val="center"/>
          </w:tcPr>
          <w:p>
            <w:pPr>
              <w:jc w:val="center"/>
              <w:rPr>
                <w:rFonts w:ascii="Calibri" w:hAnsi="Calibri"/>
                <w:color w:val="000000"/>
                <w:highlight w:val="yellow"/>
              </w:rPr>
            </w:pPr>
            <w:r>
              <w:rPr>
                <w:rFonts w:ascii="Calibri" w:hAnsi="Calibri"/>
                <w:color w:val="000000"/>
                <w:highlight w:val="yellow"/>
              </w:rPr>
              <w:t>Cover Chain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b w:val="1"/>
                <w:u w:val="single"/>
                <w:highlight w:val="yellow"/>
              </w:rPr>
            </w:pPr>
            <w:r>
              <w:rPr>
                <w:rFonts w:ascii="Calibri" w:hAnsi="Calibri"/>
              </w:rPr>
              <w:t>Assemble To Options:</w:t>
            </w:r>
          </w:p>
        </w:tc>
        <w:tc>
          <w:tcPr>
            <w:tcW w:w="5244" w:type="dxa"/>
            <w:vAlign w:val="center"/>
          </w:tcPr>
          <w:p>
            <w:pPr>
              <w:jc w:val="center"/>
              <w:rPr>
                <w:rFonts w:ascii="Calibri" w:hAnsi="Calibri"/>
                <w:color w:val="000000"/>
                <w:highlight w:val="yellow"/>
              </w:rPr>
            </w:pPr>
            <w:r>
              <w:rPr>
                <w:rFonts w:ascii="Calibri" w:hAnsi="Calibri"/>
                <w:color w:val="000000"/>
                <w:highlight w:val="yellow"/>
              </w:rPr>
              <w:t>Assemble Sensor to Specific Temperature Transmitter</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5244" w:type="dxa"/>
            <w:vAlign w:val="center"/>
          </w:tcPr>
          <w:p>
            <w:pPr>
              <w:jc w:val="center"/>
              <w:rPr>
                <w:rFonts w:ascii="Calibri" w:hAnsi="Calibri"/>
                <w:color w:val="000000"/>
                <w:highlight w:val="yellow"/>
              </w:rPr>
            </w:pPr>
            <w:r>
              <w:rPr>
                <w:rFonts w:ascii="Calibri" w:hAnsi="Calibri"/>
                <w:color w:val="000000"/>
              </w:rPr>
              <w:t>Rosemount</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5244" w:type="dxa"/>
            <w:vAlign w:val="center"/>
          </w:tcPr>
          <w:p>
            <w:pPr>
              <w:jc w:val="center"/>
              <w:rPr>
                <w:rFonts w:ascii="Calibri" w:hAnsi="Calibri"/>
                <w:color w:val="000000"/>
                <w:highlight w:val="yellow"/>
              </w:rPr>
            </w:pPr>
            <w:r>
              <w:rPr>
                <w:rFonts w:ascii="Calibri" w:hAnsi="Calibri"/>
                <w:color w:val="000000"/>
                <w:highlight w:val="yellow"/>
              </w:rPr>
              <w:t>0065D02TY0000Y0115G38G3XA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 xml:space="preserve">Transmitter </w:t>
            </w:r>
            <w:r>
              <w:rPr>
                <w:rFonts w:ascii="Calibri" w:hAnsi="Calibri"/>
                <w:b w:val="1"/>
                <w:u w:val="single"/>
              </w:rPr>
              <w:t>Device Data:</w:t>
            </w:r>
          </w:p>
        </w:tc>
        <w:tc>
          <w:tcPr>
            <w:tcW w:w="5244" w:type="dxa"/>
            <w:vAlign w:val="center"/>
          </w:tcPr>
          <w:p>
            <w:pPr>
              <w:jc w:val="center"/>
              <w:rPr>
                <w:rFonts w:ascii="Calibri" w:hAnsi="Calibri"/>
                <w:color w:val="000000"/>
                <w:highlight w:val="yellow"/>
              </w:rPr>
            </w:pPr>
          </w:p>
        </w:tc>
      </w:tr>
      <w:tr>
        <w:trPr>
          <w:wAfter w:w="0" w:type="dxa"/>
          <w:trHeight w:hRule="exact" w:val="4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5244" w:type="dxa"/>
            <w:vAlign w:val="center"/>
          </w:tcPr>
          <w:p>
            <w:pPr>
              <w:jc w:val="center"/>
              <w:rPr>
                <w:rFonts w:ascii="Calibri" w:hAnsi="Calibri"/>
                <w:color w:val="000000"/>
              </w:rPr>
            </w:pPr>
            <w:r>
              <w:rPr>
                <w:rFonts w:ascii="Calibri" w:hAnsi="Calibri"/>
                <w:color w:val="000000"/>
              </w:rPr>
              <w:t>644 Temperature Transmitter</w:t>
            </w:r>
          </w:p>
        </w:tc>
      </w:tr>
      <w:tr>
        <w:trPr>
          <w:wAfter w:w="0" w:type="dxa"/>
          <w:trHeight w:hRule="exact" w:val="378"/>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Transmitter Type:</w:t>
            </w:r>
          </w:p>
        </w:tc>
        <w:tc>
          <w:tcPr>
            <w:tcW w:w="5244" w:type="dxa"/>
            <w:vAlign w:val="center"/>
          </w:tcPr>
          <w:p>
            <w:pPr>
              <w:jc w:val="center"/>
              <w:rPr>
                <w:rFonts w:ascii="Calibri" w:hAnsi="Calibri"/>
                <w:color w:val="000000"/>
                <w:highlight w:val="yellow"/>
              </w:rPr>
            </w:pPr>
            <w:r>
              <w:rPr>
                <w:rFonts w:ascii="Calibri" w:hAnsi="Calibri"/>
                <w:highlight w:val="yellow"/>
              </w:rPr>
              <w:t>DIN A Head Mount</w:t>
            </w:r>
          </w:p>
        </w:tc>
      </w:tr>
      <w:tr>
        <w:trPr>
          <w:wAfter w:w="0" w:type="dxa"/>
          <w:trHeight w:hRule="exact" w:val="4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Output:</w:t>
            </w:r>
          </w:p>
        </w:tc>
        <w:tc>
          <w:tcPr>
            <w:tcW w:w="5244" w:type="dxa"/>
            <w:vAlign w:val="center"/>
          </w:tcPr>
          <w:p>
            <w:pPr>
              <w:jc w:val="center"/>
              <w:rPr>
                <w:rFonts w:ascii="Calibri" w:hAnsi="Calibri"/>
                <w:color w:val="000000"/>
                <w:highlight w:val="yellow"/>
              </w:rPr>
            </w:pPr>
            <w:r>
              <w:rPr>
                <w:rFonts w:ascii="Calibri" w:hAnsi="Calibri"/>
                <w:color w:val="000000"/>
              </w:rPr>
              <w:t>4-20 mA with Digital Signal Based on HART Protocol</w:t>
            </w:r>
          </w:p>
        </w:tc>
      </w:tr>
      <w:tr>
        <w:trPr>
          <w:wAfter w:w="0" w:type="dxa"/>
          <w:trHeight w:hRule="exact" w:val="412"/>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Product Certifications:</w:t>
            </w:r>
          </w:p>
        </w:tc>
        <w:tc>
          <w:tcPr>
            <w:tcW w:w="5244" w:type="dxa"/>
            <w:vAlign w:val="center"/>
          </w:tcPr>
          <w:p>
            <w:pPr>
              <w:jc w:val="center"/>
              <w:rPr>
                <w:rFonts w:ascii="Calibri" w:hAnsi="Calibri"/>
                <w:color w:val="000000"/>
                <w:highlight w:val="yellow"/>
              </w:rPr>
            </w:pPr>
            <w:r>
              <w:rPr>
                <w:rFonts w:ascii="Calibri" w:hAnsi="Calibri"/>
                <w:color w:val="000000"/>
                <w:highlight w:val="yellow"/>
              </w:rPr>
              <w:t>CSA Intrinsically Safe</w:t>
            </w:r>
          </w:p>
        </w:tc>
      </w:tr>
      <w:tr>
        <w:trPr>
          <w:wAfter w:w="0" w:type="dxa"/>
          <w:trHeight w:hRule="exact" w:val="429"/>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5244" w:type="dxa"/>
            <w:vAlign w:val="center"/>
          </w:tcPr>
          <w:p>
            <w:pPr>
              <w:jc w:val="center"/>
              <w:rPr>
                <w:rFonts w:ascii="Calibri" w:hAnsi="Calibri"/>
                <w:color w:val="000000"/>
              </w:rPr>
            </w:pPr>
          </w:p>
        </w:tc>
      </w:tr>
      <w:tr>
        <w:trPr>
          <w:wAfter w:w="0" w:type="dxa"/>
          <w:trHeight w:hRule="exact" w:val="576"/>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Assemble To Options:</w:t>
            </w:r>
          </w:p>
        </w:tc>
        <w:tc>
          <w:tcPr>
            <w:tcW w:w="5244" w:type="dxa"/>
            <w:vAlign w:val="center"/>
          </w:tcPr>
          <w:p>
            <w:pPr>
              <w:jc w:val="center"/>
              <w:rPr>
                <w:rFonts w:ascii="Calibri" w:hAnsi="Calibri"/>
                <w:color w:val="000000"/>
              </w:rPr>
            </w:pPr>
            <w:r>
              <w:rPr>
                <w:rFonts w:ascii="Calibri" w:hAnsi="Calibri"/>
                <w:color w:val="000000"/>
                <w:highlight w:val="yellow"/>
              </w:rPr>
              <w:t>Sensor Specified Separately and Assembled to Transmitter</w:t>
            </w:r>
          </w:p>
        </w:tc>
      </w:tr>
      <w:tr>
        <w:trPr>
          <w:wAfter w:w="0" w:type="dxa"/>
          <w:trHeight w:hRule="exact" w:val="576"/>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 Options:</w:t>
            </w:r>
          </w:p>
        </w:tc>
        <w:tc>
          <w:tcPr>
            <w:tcW w:w="5244" w:type="dxa"/>
            <w:vAlign w:val="center"/>
          </w:tcPr>
          <w:p>
            <w:pPr>
              <w:jc w:val="center"/>
              <w:rPr>
                <w:rFonts w:ascii="Calibri" w:hAnsi="Calibri"/>
                <w:color w:val="000000"/>
              </w:rPr>
            </w:pPr>
            <w:r>
              <w:rPr>
                <w:rFonts w:ascii="Calibri" w:hAnsi="Calibri"/>
                <w:color w:val="000000"/>
              </w:rPr>
              <w:t>Universal Head (junction box), aluminum alloy with 50.8mm (2”) SST Pipe Bracket (1/2-14NPT Entries)</w:t>
            </w:r>
          </w:p>
        </w:tc>
      </w:tr>
      <w:tr>
        <w:trPr>
          <w:wAfter w:w="0" w:type="dxa"/>
          <w:trHeight w:hRule="exact" w:val="418"/>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Display: </w:t>
            </w:r>
          </w:p>
        </w:tc>
        <w:tc>
          <w:tcPr>
            <w:tcW w:w="5244" w:type="dxa"/>
            <w:vAlign w:val="center"/>
          </w:tcPr>
          <w:p>
            <w:pPr>
              <w:jc w:val="center"/>
              <w:rPr>
                <w:rFonts w:ascii="Calibri" w:hAnsi="Calibri"/>
                <w:color w:val="000000"/>
              </w:rPr>
            </w:pPr>
            <w:r>
              <w:rPr>
                <w:rFonts w:ascii="Calibri" w:hAnsi="Calibri"/>
                <w:color w:val="000000"/>
              </w:rPr>
              <w:t>LCD Display</w:t>
            </w:r>
          </w:p>
        </w:tc>
      </w:tr>
      <w:tr>
        <w:trPr>
          <w:wAfter w:w="0" w:type="dxa"/>
          <w:trHeight w:hRule="exact" w:val="418"/>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Cover Chain Option: </w:t>
            </w:r>
          </w:p>
        </w:tc>
        <w:tc>
          <w:tcPr>
            <w:tcW w:w="5244" w:type="dxa"/>
            <w:vAlign w:val="center"/>
          </w:tcPr>
          <w:p>
            <w:pPr>
              <w:jc w:val="center"/>
              <w:rPr>
                <w:rFonts w:ascii="Calibri" w:hAnsi="Calibri"/>
                <w:color w:val="000000"/>
              </w:rPr>
            </w:pPr>
            <w:r>
              <w:rPr>
                <w:rFonts w:ascii="Calibri" w:hAnsi="Calibri"/>
                <w:color w:val="000000"/>
                <w:highlight w:val="yellow"/>
              </w:rPr>
              <w:t>Cover Chain</w:t>
            </w:r>
          </w:p>
        </w:tc>
      </w:tr>
      <w:tr>
        <w:trPr>
          <w:wAfter w:w="0" w:type="dxa"/>
          <w:trHeight w:hRule="exact" w:val="418"/>
        </w:trPr>
        <w:tc>
          <w:tcPr>
            <w:tcW w:w="2880" w:type="dxa"/>
            <w:tcBorders>
              <w:top w:val="single" w:sz="6" w:space="0" w:shadow="0" w:frame="0"/>
              <w:bottom w:val="single" w:sz="6" w:space="0" w:shadow="0" w:frame="0"/>
            </w:tcBorders>
            <w:shd w:val="clear" w:color="auto" w:fill="E6E6E6"/>
            <w:vAlign w:val="center"/>
          </w:tcPr>
          <w:p>
            <w:pPr>
              <w:ind w:hanging="720" w:left="720"/>
              <w:jc w:val="right"/>
              <w:rPr>
                <w:rFonts w:ascii="Calibri" w:hAnsi="Calibri"/>
              </w:rPr>
            </w:pPr>
            <w:r>
              <w:rPr>
                <w:rFonts w:ascii="Calibri" w:hAnsi="Calibri"/>
              </w:rPr>
              <w:t>Transmitter Accessories:</w:t>
            </w:r>
          </w:p>
        </w:tc>
        <w:tc>
          <w:tcPr>
            <w:tcW w:w="5244" w:type="dxa"/>
            <w:vAlign w:val="center"/>
          </w:tcPr>
          <w:p>
            <w:pPr>
              <w:jc w:val="center"/>
              <w:rPr>
                <w:rFonts w:ascii="Calibri" w:hAnsi="Calibri"/>
                <w:color w:val="000000"/>
                <w:highlight w:val="yellow"/>
              </w:rPr>
            </w:pPr>
            <w:r>
              <w:rPr>
                <w:rFonts w:ascii="Calibri" w:hAnsi="Calibri"/>
                <w:color w:val="000000"/>
                <w:highlight w:val="yellow"/>
              </w:rPr>
              <w:t>None</w:t>
            </w:r>
          </w:p>
        </w:tc>
      </w:tr>
      <w:tr>
        <w:trPr>
          <w:wAfter w:w="0" w:type="dxa"/>
          <w:trHeight w:hRule="exact" w:val="418"/>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Model: </w:t>
            </w:r>
          </w:p>
        </w:tc>
        <w:tc>
          <w:tcPr>
            <w:tcW w:w="5244" w:type="dxa"/>
            <w:vAlign w:val="center"/>
          </w:tcPr>
          <w:p>
            <w:pPr>
              <w:jc w:val="center"/>
              <w:rPr>
                <w:rFonts w:ascii="Calibri" w:hAnsi="Calibri"/>
                <w:color w:val="000000"/>
              </w:rPr>
            </w:pPr>
            <w:r>
              <w:rPr>
                <w:rFonts w:ascii="Calibri" w:hAnsi="Calibri"/>
                <w:color w:val="000000"/>
              </w:rPr>
              <w:t>Standard Model, North American Region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5244" w:type="dxa"/>
            <w:vAlign w:val="center"/>
          </w:tcPr>
          <w:p>
            <w:pPr>
              <w:jc w:val="center"/>
              <w:rPr>
                <w:rFonts w:ascii="Calibri" w:hAnsi="Calibri"/>
                <w:color w:val="000000"/>
                <w:highlight w:val="yellow"/>
              </w:rPr>
            </w:pPr>
            <w:r>
              <w:rPr>
                <w:rFonts w:ascii="Calibri" w:hAnsi="Calibri"/>
                <w:color w:val="000000"/>
              </w:rPr>
              <w:t>Rosemount</w:t>
            </w:r>
          </w:p>
        </w:tc>
      </w:tr>
      <w:tr>
        <w:trPr>
          <w:wAfter w:w="0" w:type="dxa"/>
          <w:trHeight w:hRule="exact" w:val="360"/>
        </w:trPr>
        <w:tc>
          <w:tcPr>
            <w:tcW w:w="2880"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5244" w:type="dxa"/>
            <w:vAlign w:val="center"/>
          </w:tcPr>
          <w:p>
            <w:pPr>
              <w:jc w:val="center"/>
              <w:rPr>
                <w:rFonts w:ascii="Calibri" w:hAnsi="Calibri"/>
                <w:color w:val="000000"/>
                <w:highlight w:val="yellow"/>
              </w:rPr>
            </w:pPr>
            <w:r>
              <w:rPr>
                <w:rFonts w:ascii="Calibri" w:hAnsi="Calibri"/>
                <w:color w:val="000000"/>
              </w:rPr>
              <w:t>644H</w:t>
            </w:r>
            <w:r>
              <w:rPr>
                <w:rFonts w:ascii="Calibri" w:hAnsi="Calibri"/>
                <w:color w:val="000000"/>
                <w:highlight w:val="yellow"/>
              </w:rPr>
              <w:t>AI6XA</w:t>
            </w:r>
            <w:r>
              <w:rPr>
                <w:rFonts w:ascii="Calibri" w:hAnsi="Calibri"/>
                <w:color w:val="000000"/>
              </w:rPr>
              <w:t>J6M5</w:t>
            </w:r>
            <w:r>
              <w:rPr>
                <w:rFonts w:ascii="Calibri" w:hAnsi="Calibri"/>
                <w:color w:val="000000"/>
                <w:highlight w:val="yellow"/>
              </w:rPr>
              <w:t>G3</w:t>
            </w:r>
          </w:p>
        </w:tc>
      </w:tr>
    </w:tbl>
    <w:p>
      <w:pPr>
        <w:pStyle w:val="P4"/>
        <w:rPr>
          <w:rFonts w:ascii="Calibri" w:hAnsi="Calibri"/>
        </w:rPr>
      </w:pPr>
      <w:r>
        <w:rPr>
          <w:rFonts w:ascii="Calibri" w:hAnsi="Calibri"/>
        </w:rPr>
        <w:br w:type="page"/>
        <w:t>Second Named Manufacturer:</w:t>
      </w:r>
    </w:p>
    <w:tbl>
      <w:tblPr>
        <w:tblStyle w:val="T2"/>
        <w:tblW w:w="727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60"/>
        </w:trPr>
        <w:tc>
          <w:tcPr>
            <w:tcW w:w="288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4394" w:type="dxa"/>
            <w:vAlign w:val="center"/>
          </w:tcPr>
          <w:p>
            <w:pPr>
              <w:jc w:val="center"/>
              <w:rPr>
                <w:rFonts w:ascii="Calibri" w:hAnsi="Calibri"/>
                <w:color w:val="000000"/>
                <w:highlight w:val="yellow"/>
              </w:rPr>
            </w:pPr>
            <w:r>
              <w:rPr>
                <w:rFonts w:ascii="Calibri" w:hAnsi="Calibri"/>
                <w:color w:val="000000"/>
                <w:highlight w:val="yellow"/>
              </w:rPr>
              <w:t>Liquid</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439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4394"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4394" w:type="dxa"/>
            <w:vAlign w:val="center"/>
          </w:tcPr>
          <w:p>
            <w:pPr>
              <w:jc w:val="center"/>
              <w:rPr>
                <w:rFonts w:ascii="Calibri" w:hAnsi="Calibri"/>
                <w:color w:val="000000"/>
                <w:highlight w:val="yellow"/>
              </w:rPr>
            </w:pPr>
            <w:r>
              <w:rPr>
                <w:rFonts w:ascii="Calibri" w:hAnsi="Calibri"/>
                <w:color w:val="000000"/>
                <w:highlight w:val="yellow"/>
              </w:rPr>
              <w:t>13160A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Product:</w:t>
            </w:r>
          </w:p>
        </w:tc>
        <w:tc>
          <w:tcPr>
            <w:tcW w:w="4394" w:type="dxa"/>
            <w:vAlign w:val="center"/>
          </w:tcPr>
          <w:p>
            <w:pPr>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4394" w:type="dxa"/>
            <w:vAlign w:val="center"/>
          </w:tcPr>
          <w:p>
            <w:pPr>
              <w:jc w:val="center"/>
              <w:rPr>
                <w:rFonts w:ascii="Calibri" w:hAnsi="Calibri"/>
                <w:color w:val="000000"/>
                <w:highlight w:val="yellow"/>
              </w:rPr>
            </w:pPr>
            <w:r>
              <w:rPr>
                <w:rFonts w:ascii="Calibri" w:hAnsi="Calibri"/>
                <w:color w:val="000000"/>
                <w:highlight w:val="yellow"/>
              </w:rPr>
              <w:t xml:space="preserve">0-30 </w:t>
            </w:r>
            <w:r>
              <w:rPr>
                <w:rFonts w:ascii="Calibri" w:hAnsi="Calibri"/>
                <w:color w:val="000000"/>
                <w:highlight w:val="yellow"/>
                <w:vertAlign w:val="superscript"/>
              </w:rPr>
              <w:t>o</w:t>
            </w:r>
            <w:r>
              <w:rPr>
                <w:rFonts w:ascii="Calibri" w:hAnsi="Calibri"/>
                <w:color w:val="000000"/>
                <w:highlight w:val="yellow"/>
              </w:rPr>
              <w:t>C</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 min/max:</w:t>
            </w:r>
          </w:p>
        </w:tc>
        <w:tc>
          <w:tcPr>
            <w:tcW w:w="4394" w:type="dxa"/>
            <w:vAlign w:val="center"/>
          </w:tcPr>
          <w:p>
            <w:pPr>
              <w:jc w:val="center"/>
              <w:rPr>
                <w:rFonts w:ascii="Calibri" w:hAnsi="Calibri"/>
                <w:color w:val="000000"/>
                <w:highlight w:val="yellow"/>
              </w:rPr>
            </w:pPr>
            <w:r>
              <w:rPr>
                <w:rFonts w:ascii="Calibri" w:hAnsi="Calibri"/>
                <w:color w:val="000000"/>
                <w:highlight w:val="yellow"/>
              </w:rPr>
              <w:t>0 - 300 kPa</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Flow min/max:</w:t>
            </w:r>
          </w:p>
        </w:tc>
        <w:tc>
          <w:tcPr>
            <w:tcW w:w="4394" w:type="dxa"/>
            <w:vAlign w:val="center"/>
          </w:tcPr>
          <w:p>
            <w:pPr>
              <w:jc w:val="center"/>
              <w:rPr>
                <w:rFonts w:ascii="Calibri" w:hAnsi="Calibri"/>
                <w:color w:val="000000"/>
                <w:highlight w:val="yellow"/>
              </w:rPr>
            </w:pPr>
            <w:r>
              <w:rPr>
                <w:rFonts w:ascii="Calibri" w:hAnsi="Calibri"/>
                <w:color w:val="000000"/>
                <w:highlight w:val="yellow"/>
              </w:rPr>
              <w:t>0 - 150,000 m</w:t>
            </w:r>
            <w:r>
              <w:rPr>
                <w:rFonts w:ascii="Calibri" w:hAnsi="Calibri"/>
                <w:color w:val="000000"/>
                <w:highlight w:val="yellow"/>
                <w:vertAlign w:val="superscript"/>
              </w:rPr>
              <w:t>3</w:t>
            </w:r>
            <w:r>
              <w:rPr>
                <w:rFonts w:ascii="Calibri" w:hAnsi="Calibri"/>
                <w:color w:val="000000"/>
                <w:highlight w:val="yellow"/>
              </w:rPr>
              <w:t>/day</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Line Size:</w:t>
            </w:r>
          </w:p>
        </w:tc>
        <w:tc>
          <w:tcPr>
            <w:tcW w:w="4394" w:type="dxa"/>
            <w:vAlign w:val="center"/>
          </w:tcPr>
          <w:p>
            <w:pPr>
              <w:jc w:val="center"/>
              <w:rPr>
                <w:rFonts w:ascii="Calibri" w:hAnsi="Calibri"/>
                <w:color w:val="000000"/>
                <w:highlight w:val="yellow"/>
              </w:rPr>
            </w:pPr>
            <w:r>
              <w:rPr>
                <w:rFonts w:ascii="Calibri" w:hAnsi="Calibri"/>
                <w:color w:val="000000"/>
                <w:highlight w:val="yellow"/>
              </w:rPr>
              <w:t>900 mm</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rPr>
                <w:rFonts w:ascii="Calibri" w:hAnsi="Calibri"/>
              </w:rPr>
            </w:pPr>
            <w:r>
              <w:rPr>
                <w:rFonts w:ascii="Calibri" w:hAnsi="Calibri"/>
                <w:b w:val="1"/>
                <w:u w:val="single"/>
              </w:rPr>
              <w:t>Device Data:</w:t>
            </w:r>
          </w:p>
        </w:tc>
        <w:tc>
          <w:tcPr>
            <w:tcW w:w="4394" w:type="dxa"/>
            <w:vAlign w:val="center"/>
          </w:tcPr>
          <w:p>
            <w:pPr>
              <w:jc w:val="center"/>
              <w:rPr>
                <w:rFonts w:ascii="Calibri" w:hAnsi="Calibri"/>
                <w:color w:val="000000"/>
                <w:highlight w:val="yellow"/>
              </w:rPr>
            </w:pP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4394" w:type="dxa"/>
            <w:vAlign w:val="center"/>
          </w:tcPr>
          <w:p>
            <w:pPr>
              <w:jc w:val="center"/>
              <w:rPr>
                <w:rFonts w:ascii="Calibri" w:hAnsi="Calibri"/>
                <w:color w:val="000000"/>
              </w:rPr>
            </w:pPr>
            <w:r>
              <w:rPr>
                <w:rFonts w:ascii="Calibri" w:hAnsi="Calibri"/>
                <w:color w:val="000000"/>
              </w:rPr>
              <w:t>RTD Assembly in Themowell, TH13</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TW Immersion Length U:</w:t>
            </w:r>
          </w:p>
        </w:tc>
        <w:tc>
          <w:tcPr>
            <w:tcW w:w="4394" w:type="dxa"/>
            <w:vAlign w:val="center"/>
          </w:tcPr>
          <w:p>
            <w:pPr>
              <w:jc w:val="center"/>
              <w:rPr>
                <w:rFonts w:ascii="Calibri" w:hAnsi="Calibri"/>
                <w:color w:val="000000"/>
                <w:highlight w:val="yellow"/>
              </w:rPr>
            </w:pPr>
            <w:r>
              <w:rPr>
                <w:rFonts w:ascii="Calibri" w:hAnsi="Calibri"/>
                <w:color w:val="000000"/>
                <w:highlight w:val="yellow"/>
              </w:rPr>
              <w:t xml:space="preserve">2 ½” </w:t>
            </w:r>
          </w:p>
        </w:tc>
      </w:tr>
      <w:tr>
        <w:trPr>
          <w:wAfter w:w="0" w:type="dxa"/>
          <w:trHeight w:hRule="exact" w:val="576"/>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Process Connection, TW Material, 1 Inch:</w:t>
            </w:r>
          </w:p>
        </w:tc>
        <w:tc>
          <w:tcPr>
            <w:tcW w:w="4394" w:type="dxa"/>
            <w:vAlign w:val="center"/>
          </w:tcPr>
          <w:p>
            <w:pPr>
              <w:jc w:val="center"/>
              <w:rPr>
                <w:rFonts w:ascii="Calibri" w:hAnsi="Calibri"/>
                <w:color w:val="000000"/>
                <w:highlight w:val="yellow"/>
              </w:rPr>
            </w:pPr>
            <w:r>
              <w:rPr>
                <w:rFonts w:ascii="Calibri" w:hAnsi="Calibri"/>
                <w:color w:val="000000"/>
              </w:rPr>
              <w:t>½" NPT 316SS</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Shape of TW:</w:t>
            </w:r>
          </w:p>
        </w:tc>
        <w:tc>
          <w:tcPr>
            <w:tcW w:w="4394" w:type="dxa"/>
            <w:vAlign w:val="center"/>
          </w:tcPr>
          <w:p>
            <w:pPr>
              <w:jc w:val="center"/>
              <w:rPr>
                <w:rFonts w:ascii="Calibri" w:hAnsi="Calibri"/>
                <w:color w:val="000000"/>
              </w:rPr>
            </w:pPr>
            <w:r>
              <w:rPr>
                <w:rFonts w:ascii="Calibri" w:hAnsi="Calibri"/>
                <w:color w:val="000000"/>
              </w:rPr>
              <w:t>Tapered, Heavy Duty</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Lag of TW T:</w:t>
            </w:r>
          </w:p>
        </w:tc>
        <w:tc>
          <w:tcPr>
            <w:tcW w:w="4394" w:type="dxa"/>
            <w:vAlign w:val="center"/>
          </w:tcPr>
          <w:p>
            <w:pPr>
              <w:jc w:val="center"/>
              <w:rPr>
                <w:rFonts w:ascii="Calibri" w:hAnsi="Calibri"/>
                <w:color w:val="000000"/>
              </w:rPr>
            </w:pPr>
            <w:r>
              <w:rPr>
                <w:rFonts w:ascii="Calibri" w:hAnsi="Calibri"/>
                <w:color w:val="000000"/>
              </w:rPr>
              <w:t>None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Extension:</w:t>
            </w:r>
          </w:p>
        </w:tc>
        <w:tc>
          <w:tcPr>
            <w:tcW w:w="4394" w:type="dxa"/>
            <w:vAlign w:val="center"/>
          </w:tcPr>
          <w:p>
            <w:pPr>
              <w:jc w:val="center"/>
              <w:rPr>
                <w:rFonts w:ascii="Calibri" w:hAnsi="Calibri"/>
                <w:color w:val="000000"/>
              </w:rPr>
            </w:pPr>
            <w:r>
              <w:rPr>
                <w:rFonts w:ascii="Calibri" w:hAnsi="Calibri"/>
                <w:color w:val="000000"/>
              </w:rPr>
              <w:t>Hex nipple 316SS, E=1"</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Class, Type Sensor IEC751; Connection: </w:t>
            </w:r>
          </w:p>
        </w:tc>
        <w:tc>
          <w:tcPr>
            <w:tcW w:w="4394" w:type="dxa"/>
            <w:vAlign w:val="center"/>
          </w:tcPr>
          <w:p>
            <w:pPr>
              <w:jc w:val="center"/>
              <w:rPr>
                <w:rFonts w:ascii="Calibri" w:hAnsi="Calibri"/>
                <w:color w:val="000000"/>
                <w:highlight w:val="yellow"/>
              </w:rPr>
            </w:pPr>
            <w:r>
              <w:rPr>
                <w:rFonts w:ascii="Calibri" w:hAnsi="Calibri"/>
                <w:color w:val="000000"/>
                <w:highlight w:val="yellow"/>
              </w:rPr>
              <w:t>1 Pt100 class B, 3 wire low, -50 to 200 °C (-58 to 392 °F)</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Enclosure, Communication: </w:t>
            </w:r>
          </w:p>
        </w:tc>
        <w:tc>
          <w:tcPr>
            <w:tcW w:w="4394" w:type="dxa"/>
            <w:vAlign w:val="center"/>
          </w:tcPr>
          <w:p>
            <w:pPr>
              <w:jc w:val="center"/>
              <w:rPr>
                <w:rFonts w:ascii="Calibri" w:hAnsi="Calibri"/>
                <w:color w:val="000000"/>
              </w:rPr>
            </w:pPr>
            <w:r>
              <w:rPr>
                <w:rFonts w:ascii="Calibri" w:hAnsi="Calibri"/>
                <w:color w:val="000000"/>
              </w:rPr>
              <w:t>AL Field Housing, 1 Input, Display, HART, ½" NPT</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Electrical Connection: </w:t>
            </w:r>
          </w:p>
        </w:tc>
        <w:tc>
          <w:tcPr>
            <w:tcW w:w="4394" w:type="dxa"/>
            <w:vAlign w:val="center"/>
          </w:tcPr>
          <w:p>
            <w:pPr>
              <w:jc w:val="center"/>
              <w:rPr>
                <w:rFonts w:ascii="Calibri" w:hAnsi="Calibri"/>
                <w:color w:val="000000"/>
              </w:rPr>
            </w:pPr>
            <w:r>
              <w:rPr>
                <w:rFonts w:ascii="Calibri" w:hAnsi="Calibri"/>
                <w:color w:val="000000"/>
              </w:rPr>
              <w:t>HART TMT142, CSA IS, Single Compartment</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Additional Option: </w:t>
            </w:r>
          </w:p>
        </w:tc>
        <w:tc>
          <w:tcPr>
            <w:tcW w:w="4394" w:type="dxa"/>
            <w:vAlign w:val="center"/>
          </w:tcPr>
          <w:p>
            <w:pPr>
              <w:jc w:val="center"/>
              <w:rPr>
                <w:rFonts w:ascii="Calibri" w:hAnsi="Calibri"/>
                <w:color w:val="000000"/>
              </w:rPr>
            </w:pPr>
            <w:r>
              <w:rPr>
                <w:rFonts w:ascii="Calibri" w:hAnsi="Calibri"/>
                <w:color w:val="000000"/>
              </w:rPr>
              <w:t>None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Test; Calibration: </w:t>
            </w:r>
          </w:p>
        </w:tc>
        <w:tc>
          <w:tcPr>
            <w:tcW w:w="4394" w:type="dxa"/>
            <w:vAlign w:val="center"/>
          </w:tcPr>
          <w:p>
            <w:pPr>
              <w:jc w:val="center"/>
              <w:rPr>
                <w:rFonts w:ascii="Calibri" w:hAnsi="Calibri"/>
                <w:color w:val="000000"/>
                <w:highlight w:val="yellow"/>
              </w:rPr>
            </w:pPr>
            <w:r>
              <w:rPr>
                <w:rFonts w:ascii="Calibri" w:hAnsi="Calibri"/>
                <w:color w:val="000000"/>
                <w:highlight w:val="yellow"/>
              </w:rPr>
              <w:t>None</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 xml:space="preserve">Model: </w:t>
            </w:r>
          </w:p>
        </w:tc>
        <w:tc>
          <w:tcPr>
            <w:tcW w:w="4394" w:type="dxa"/>
            <w:vAlign w:val="center"/>
          </w:tcPr>
          <w:p>
            <w:pPr>
              <w:jc w:val="center"/>
              <w:rPr>
                <w:rFonts w:ascii="Calibri" w:hAnsi="Calibri"/>
                <w:color w:val="000000"/>
              </w:rPr>
            </w:pPr>
            <w:r>
              <w:rPr>
                <w:rFonts w:ascii="Calibri" w:hAnsi="Calibri"/>
                <w:color w:val="000000"/>
              </w:rPr>
              <w:t>Standard Model, North American Region</w:t>
            </w:r>
          </w:p>
        </w:tc>
      </w:tr>
      <w:tr>
        <w:trPr>
          <w:wAfter w:w="0" w:type="dxa"/>
          <w:trHeight w:hRule="exact" w:val="36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4394" w:type="dxa"/>
            <w:vAlign w:val="center"/>
          </w:tcPr>
          <w:p>
            <w:pPr>
              <w:jc w:val="center"/>
              <w:rPr>
                <w:rFonts w:ascii="Calibri" w:hAnsi="Calibri"/>
                <w:color w:val="000000"/>
                <w:highlight w:val="yellow"/>
              </w:rPr>
            </w:pPr>
            <w:r>
              <w:rPr>
                <w:rFonts w:ascii="Calibri" w:hAnsi="Calibri"/>
                <w:color w:val="000000"/>
              </w:rPr>
              <w:t>E+H</w:t>
            </w:r>
          </w:p>
        </w:tc>
      </w:tr>
      <w:tr>
        <w:trPr>
          <w:wAfter w:w="0" w:type="dxa"/>
          <w:trHeight w:hRule="exact" w:val="360"/>
        </w:trPr>
        <w:tc>
          <w:tcPr>
            <w:tcW w:w="2880" w:type="dxa"/>
            <w:tcBorders>
              <w:top w:val="single" w:sz="6" w:space="0" w:shadow="0" w:frame="0"/>
              <w:bottom w:val="double" w:sz="6" w:space="0" w:shadow="0" w:frame="0"/>
            </w:tcBorders>
            <w:shd w:val="clear" w:color="auto" w:fill="E6E6E6"/>
            <w:vAlign w:val="center"/>
          </w:tcPr>
          <w:p>
            <w:pPr>
              <w:jc w:val="right"/>
              <w:rPr>
                <w:rFonts w:ascii="Calibri" w:hAnsi="Calibri"/>
                <w:highlight w:val="yellow"/>
              </w:rPr>
            </w:pPr>
            <w:r>
              <w:rPr>
                <w:rFonts w:ascii="Calibri" w:hAnsi="Calibri"/>
                <w:color w:val="000000"/>
              </w:rPr>
              <w:t>Part Number:</w:t>
            </w:r>
          </w:p>
        </w:tc>
        <w:tc>
          <w:tcPr>
            <w:tcW w:w="4394" w:type="dxa"/>
            <w:vAlign w:val="center"/>
          </w:tcPr>
          <w:p>
            <w:pPr>
              <w:jc w:val="center"/>
              <w:rPr>
                <w:rFonts w:ascii="Calibri" w:hAnsi="Calibri"/>
                <w:color w:val="000000"/>
                <w:highlight w:val="yellow"/>
              </w:rPr>
            </w:pPr>
            <w:r>
              <w:rPr>
                <w:rFonts w:ascii="Calibri" w:hAnsi="Calibri"/>
                <w:color w:val="000000"/>
              </w:rPr>
              <w:t>TH13-</w:t>
            </w:r>
            <w:r>
              <w:rPr>
                <w:rFonts w:ascii="Calibri" w:hAnsi="Calibri"/>
                <w:color w:val="000000"/>
                <w:highlight w:val="yellow"/>
              </w:rPr>
              <w:t>1</w:t>
            </w:r>
            <w:r>
              <w:rPr>
                <w:rFonts w:ascii="Calibri" w:hAnsi="Calibri"/>
                <w:color w:val="000000"/>
              </w:rPr>
              <w:t>A13A1</w:t>
            </w:r>
            <w:r>
              <w:rPr>
                <w:rFonts w:ascii="Calibri" w:hAnsi="Calibri"/>
                <w:color w:val="000000"/>
                <w:highlight w:val="yellow"/>
              </w:rPr>
              <w:t>A</w:t>
            </w:r>
            <w:r>
              <w:rPr>
                <w:rFonts w:ascii="Calibri" w:hAnsi="Calibri"/>
                <w:color w:val="000000"/>
              </w:rPr>
              <w:t>IN1</w:t>
            </w:r>
            <w:r>
              <w:rPr>
                <w:rFonts w:ascii="Calibri" w:hAnsi="Calibri"/>
                <w:color w:val="000000"/>
                <w:highlight w:val="yellow"/>
              </w:rPr>
              <w:t>A</w:t>
            </w:r>
            <w:r>
              <w:rPr>
                <w:rFonts w:ascii="Calibri" w:hAnsi="Calibri"/>
                <w:color w:val="000000"/>
              </w:rPr>
              <w:t>KA</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TEMPERATURE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TEMPERATURE TR</w:t>
    </w:r>
    <w:r>
      <w:rPr>
        <w:rFonts w:ascii="Calibri (Body)" w:hAnsi="Calibri (Body)"/>
        <w:b w:val="1"/>
        <w:sz w:val="22"/>
      </w:rPr>
      <w:t>ANSMITTER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13160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 xml:space="preserve">TEMPERATURE </w:t>
    </w:r>
    <w:r>
      <w:rPr>
        <w:rFonts w:ascii="Calibri (Body)" w:hAnsi="Calibri (Body)"/>
        <w:b w:val="1"/>
        <w:sz w:val="22"/>
      </w:rPr>
      <w:t>TRANSMITTER</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41B5BD5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440"/>
        <w:tabs>
          <w:tab w:val="left" w:pos="0" w:leader="none"/>
        </w:tabs>
      </w:pPr>
      <w:rPr/>
    </w:lvl>
    <w:lvl w:ilvl="1" w:tplc="06BC8FAB">
      <w:start w:val="1"/>
      <w:numFmt w:val="bullet"/>
      <w:suff w:val="tab"/>
      <w:lvlText w:val="o"/>
      <w:lvlJc w:val="left"/>
      <w:pPr>
        <w:ind w:hanging="360" w:left="1800"/>
        <w:tabs>
          <w:tab w:val="left" w:pos="1800" w:leader="none"/>
        </w:tabs>
      </w:pPr>
      <w:rPr>
        <w:rFonts w:ascii="Courier New" w:hAnsi="Courier New"/>
      </w:rPr>
    </w:lvl>
    <w:lvl w:ilvl="2" w:tplc="764BB206">
      <w:start w:val="1"/>
      <w:numFmt w:val="bullet"/>
      <w:suff w:val="tab"/>
      <w:lvlText w:val=""/>
      <w:lvlJc w:val="left"/>
      <w:pPr>
        <w:ind w:hanging="360" w:left="2520"/>
        <w:tabs>
          <w:tab w:val="left" w:pos="2520" w:leader="none"/>
        </w:tabs>
      </w:pPr>
      <w:rPr>
        <w:rFonts w:ascii="Wingdings" w:hAnsi="Wingdings"/>
      </w:rPr>
    </w:lvl>
    <w:lvl w:ilvl="3" w:tplc="1350C104">
      <w:start w:val="1"/>
      <w:numFmt w:val="bullet"/>
      <w:suff w:val="tab"/>
      <w:lvlText w:val=""/>
      <w:lvlJc w:val="left"/>
      <w:pPr>
        <w:ind w:hanging="360" w:left="3240"/>
        <w:tabs>
          <w:tab w:val="left" w:pos="3240" w:leader="none"/>
        </w:tabs>
      </w:pPr>
      <w:rPr>
        <w:rFonts w:ascii="Symbol" w:hAnsi="Symbol"/>
      </w:rPr>
    </w:lvl>
    <w:lvl w:ilvl="4" w:tplc="0E97843D">
      <w:start w:val="1"/>
      <w:numFmt w:val="bullet"/>
      <w:suff w:val="tab"/>
      <w:lvlText w:val="o"/>
      <w:lvlJc w:val="left"/>
      <w:pPr>
        <w:ind w:hanging="360" w:left="3960"/>
        <w:tabs>
          <w:tab w:val="left" w:pos="3960" w:leader="none"/>
        </w:tabs>
      </w:pPr>
      <w:rPr>
        <w:rFonts w:ascii="Courier New" w:hAnsi="Courier New"/>
      </w:rPr>
    </w:lvl>
    <w:lvl w:ilvl="5" w:tplc="16D944B7">
      <w:start w:val="1"/>
      <w:numFmt w:val="bullet"/>
      <w:suff w:val="tab"/>
      <w:lvlText w:val=""/>
      <w:lvlJc w:val="left"/>
      <w:pPr>
        <w:ind w:hanging="360" w:left="4680"/>
        <w:tabs>
          <w:tab w:val="left" w:pos="4680" w:leader="none"/>
        </w:tabs>
      </w:pPr>
      <w:rPr>
        <w:rFonts w:ascii="Wingdings" w:hAnsi="Wingdings"/>
      </w:rPr>
    </w:lvl>
    <w:lvl w:ilvl="6" w:tplc="4152FF80">
      <w:start w:val="1"/>
      <w:numFmt w:val="bullet"/>
      <w:suff w:val="tab"/>
      <w:lvlText w:val=""/>
      <w:lvlJc w:val="left"/>
      <w:pPr>
        <w:ind w:hanging="360" w:left="5400"/>
        <w:tabs>
          <w:tab w:val="left" w:pos="5400" w:leader="none"/>
        </w:tabs>
      </w:pPr>
      <w:rPr>
        <w:rFonts w:ascii="Symbol" w:hAnsi="Symbol"/>
      </w:rPr>
    </w:lvl>
    <w:lvl w:ilvl="7" w:tplc="5D4888BC">
      <w:start w:val="1"/>
      <w:numFmt w:val="bullet"/>
      <w:suff w:val="tab"/>
      <w:lvlText w:val="o"/>
      <w:lvlJc w:val="left"/>
      <w:pPr>
        <w:ind w:hanging="360" w:left="6120"/>
        <w:tabs>
          <w:tab w:val="left" w:pos="6120" w:leader="none"/>
        </w:tabs>
      </w:pPr>
      <w:rPr>
        <w:rFonts w:ascii="Courier New" w:hAnsi="Courier New"/>
      </w:rPr>
    </w:lvl>
    <w:lvl w:ilvl="8" w:tplc="4FBB34C7">
      <w:start w:val="1"/>
      <w:numFmt w:val="bullet"/>
      <w:suff w:val="tab"/>
      <w:lvlText w:val=""/>
      <w:lvlJc w:val="left"/>
      <w:pPr>
        <w:ind w:hanging="360" w:left="6840"/>
        <w:tabs>
          <w:tab w:val="left" w:pos="684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3"/>
      </w:numPr>
      <w:tabs>
        <w:tab w:val="left" w:pos="1080" w:leader="none"/>
        <w:tab w:val="left" w:pos="5760" w:leader="none"/>
      </w:tabs>
      <w:spacing w:lineRule="atLeast" w:line="320" w:before="120" w:after="120"/>
    </w:pPr>
    <w:rPr/>
  </w:style>
  <w:style w:type="paragraph" w:styleId="P26">
    <w:name w:val="Balloon Text"/>
    <w:basedOn w:val="P0"/>
    <w:next w:val="P26"/>
    <w:link w:val="C8"/>
    <w:pPr/>
    <w:rPr>
      <w:rFonts w:ascii="Tahoma" w:hAnsi="Tahoma"/>
      <w:sz w:val="16"/>
    </w:rPr>
  </w:style>
  <w:style w:type="paragraph" w:styleId="P27">
    <w:name w:val="Bullet"/>
    <w:basedOn w:val="P4"/>
    <w:next w:val="P4"/>
    <w:pPr/>
    <w:rPr/>
  </w:style>
  <w:style w:type="paragraph" w:styleId="P28">
    <w:name w:val="CSA"/>
    <w:basedOn w:val="P4"/>
    <w:next w:val="P34"/>
    <w:pPr>
      <w:keepNext w:val="1"/>
      <w:spacing w:after="0"/>
    </w:pPr>
    <w:rPr>
      <w:b w:val="1"/>
      <w:caps w:val="1"/>
      <w:sz w:val="20"/>
    </w:rPr>
  </w:style>
  <w:style w:type="paragraph" w:styleId="P29">
    <w:name w:val="Footnote Text"/>
    <w:basedOn w:val="P4"/>
    <w:next w:val="P29"/>
    <w:pPr>
      <w:spacing w:after="0"/>
    </w:pPr>
    <w:rPr>
      <w:rFonts w:ascii="Arial" w:hAnsi="Arial"/>
      <w:sz w:val="16"/>
    </w:rPr>
  </w:style>
  <w:style w:type="paragraph" w:styleId="P30">
    <w:name w:val="Number"/>
    <w:basedOn w:val="P4"/>
    <w:next w:val="P4"/>
    <w:pPr>
      <w:spacing w:after="0"/>
      <w:ind w:hanging="360" w:left="360"/>
    </w:pPr>
    <w:rPr/>
  </w:style>
  <w:style w:type="paragraph" w:styleId="P31">
    <w:name w:val="Tick"/>
    <w:basedOn w:val="P4"/>
    <w:next w:val="P4"/>
    <w:pPr>
      <w:spacing w:after="0"/>
      <w:ind w:hanging="360" w:left="720"/>
    </w:pPr>
    <w:rPr/>
  </w:style>
  <w:style w:type="paragraph" w:styleId="P32">
    <w:name w:val="TOC 1"/>
    <w:basedOn w:val="P4"/>
    <w:next w:val="P45"/>
    <w:pPr>
      <w:tabs>
        <w:tab w:val="right" w:pos="8640" w:leader="dot"/>
      </w:tabs>
      <w:spacing w:after="0"/>
    </w:pPr>
    <w:rPr>
      <w:b w:val="1"/>
    </w:rPr>
  </w:style>
  <w:style w:type="paragraph" w:styleId="P33">
    <w:name w:val="Comment Subject"/>
    <w:basedOn w:val="P5"/>
    <w:next w:val="P5"/>
    <w:pPr>
      <w:spacing w:before="0"/>
    </w:pPr>
    <w:rPr>
      <w:rFonts w:ascii="Book Antiqua" w:hAnsi="Book Antiqua"/>
      <w:b w:val="1"/>
      <w:sz w:val="20"/>
    </w:rPr>
  </w:style>
  <w:style w:type="paragraph" w:styleId="P34">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5">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6">
    <w:name w:val="Heading 3"/>
    <w:basedOn w:val="P7"/>
    <w:next w:val="P36"/>
    <w:link w:val="C7"/>
    <w:qFormat/>
    <w:pPr>
      <w:numPr>
        <w:ilvl w:val="2"/>
        <w:numId w:val="3"/>
      </w:numPr>
      <w:tabs>
        <w:tab w:val="clear" w:pos="720" w:leader="none"/>
      </w:tabs>
      <w:spacing w:before="80"/>
      <w:ind w:hanging="720" w:left="1440"/>
      <w:outlineLvl w:val="2"/>
    </w:pPr>
    <w:rPr>
      <w:rFonts w:ascii="Calibri" w:hAnsi="Calibri"/>
      <w:b w:val="0"/>
    </w:rPr>
  </w:style>
  <w:style w:type="paragraph" w:styleId="P37">
    <w:name w:val="Heading 4"/>
    <w:basedOn w:val="P7"/>
    <w:next w:val="P37"/>
    <w:qFormat/>
    <w:pPr>
      <w:numPr>
        <w:ilvl w:val="3"/>
        <w:numId w:val="3"/>
      </w:numPr>
      <w:tabs>
        <w:tab w:val="clear" w:pos="864" w:leader="none"/>
      </w:tabs>
      <w:ind w:hanging="720" w:left="2160"/>
      <w:outlineLvl w:val="3"/>
    </w:pPr>
    <w:rPr>
      <w:rFonts w:ascii="Calibri" w:hAnsi="Calibri"/>
      <w:b w:val="0"/>
    </w:rPr>
  </w:style>
  <w:style w:type="paragraph" w:styleId="P38">
    <w:name w:val="Heading 5"/>
    <w:basedOn w:val="P7"/>
    <w:next w:val="P38"/>
    <w:qFormat/>
    <w:pPr>
      <w:numPr>
        <w:ilvl w:val="4"/>
        <w:numId w:val="3"/>
      </w:numPr>
      <w:tabs>
        <w:tab w:val="left" w:pos="5760" w:leader="none"/>
      </w:tabs>
      <w:outlineLvl w:val="4"/>
    </w:pPr>
    <w:rPr>
      <w:rFonts w:ascii="Arial" w:hAnsi="Arial"/>
      <w:b w:val="0"/>
    </w:rPr>
  </w:style>
  <w:style w:type="paragraph" w:styleId="P39">
    <w:name w:val="Heading 6"/>
    <w:basedOn w:val="P7"/>
    <w:next w:val="P4"/>
    <w:qFormat/>
    <w:pPr>
      <w:numPr>
        <w:ilvl w:val="5"/>
        <w:numId w:val="3"/>
      </w:numPr>
      <w:tabs>
        <w:tab w:val="left" w:pos="6480" w:leader="none"/>
      </w:tabs>
      <w:outlineLvl w:val="5"/>
    </w:pPr>
    <w:rPr>
      <w:rFonts w:ascii="Arial" w:hAnsi="Arial"/>
      <w:b w:val="0"/>
    </w:rPr>
  </w:style>
  <w:style w:type="paragraph" w:styleId="P40">
    <w:name w:val="Caption"/>
    <w:basedOn w:val="P7"/>
    <w:next w:val="P0"/>
    <w:qFormat/>
    <w:pPr>
      <w:keepNext w:val="1"/>
      <w:spacing w:after="240"/>
    </w:pPr>
    <w:rPr>
      <w:b w:val="0"/>
      <w:i w:val="1"/>
      <w:sz w:val="20"/>
    </w:rPr>
  </w:style>
  <w:style w:type="paragraph" w:styleId="P41">
    <w:name w:val="Exhibit--Number"/>
    <w:basedOn w:val="P7"/>
    <w:next w:val="P47"/>
    <w:pPr>
      <w:spacing w:before="160"/>
    </w:pPr>
    <w:rPr>
      <w:caps w:val="1"/>
      <w:sz w:val="18"/>
    </w:rPr>
  </w:style>
  <w:style w:type="paragraph" w:styleId="P42">
    <w:name w:val="Title"/>
    <w:basedOn w:val="P7"/>
    <w:next w:val="P42"/>
    <w:qFormat/>
    <w:pPr>
      <w:keepNext w:val="1"/>
      <w:spacing w:before="160" w:after="30"/>
    </w:pPr>
    <w:rPr>
      <w:sz w:val="20"/>
    </w:rPr>
  </w:style>
  <w:style w:type="paragraph" w:styleId="P43">
    <w:name w:val="Table Body"/>
    <w:basedOn w:val="P12"/>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4"/>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6"/>
    <w:rPr>
      <w:rFonts w:ascii="Calibri" w:hAnsi="Calibri"/>
      <w:b w:val="0"/>
    </w:rPr>
  </w:style>
  <w:style w:type="character" w:styleId="C8">
    <w:name w:val="Balloon Text Char"/>
    <w:link w:val="P26"/>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2015-04-17T13:54:00Z</dcterms:created>
  <cp:lastModifiedBy>Ray</cp:lastModifiedBy>
  <cp:lastPrinted>2006-08-30T12:57:00Z</cp:lastPrinted>
  <dcterms:modified xsi:type="dcterms:W3CDTF">2022-10-04T19:38:53Z</dcterms:modified>
  <cp:revision>8</cp:revision>
  <dc:title>13160 Temperature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115900.000000000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