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FFED87A" Type="http://schemas.openxmlformats.org/officeDocument/2006/relationships/officeDocument" Target="word/document.xml"/><Relationship Id="coreRFFED87A" Type="http://schemas.openxmlformats.org/package/2006/relationships/metadata/core-properties" Target="docProps/core.xml"/><Relationship Id="customRFFED87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consulting engineer is responsible for the correct application of the specifications and for updating and modifying all highlighted items, as </w:t>
      </w:r>
      <w:r>
        <w:rPr>
          <w:rFonts w:ascii="Calibri" w:hAnsi="Calibri"/>
          <w:b w:val="1"/>
          <w:highlight w:val="yellow"/>
        </w:rPr>
        <w:t>well as updating and modifying those sections that</w:t>
      </w:r>
      <w:r>
        <w:rPr>
          <w:rFonts w:ascii="Calibri" w:hAnsi="Calibri"/>
          <w:b w:val="1"/>
          <w:highlight w:val="yellow"/>
        </w:rPr>
        <w:t xml:space="preserve">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w:t>
      </w:r>
      <w:r>
        <w:rPr>
          <w:rFonts w:ascii="Calibri" w:hAnsi="Calibri"/>
          <w:b w:val="1"/>
        </w:rPr>
        <w:t>-line copy is the current version of the document.</w:t>
      </w:r>
    </w:p>
    <w:p>
      <w:pPr>
        <w:pStyle w:val="P35"/>
      </w:pPr>
      <w:r>
        <w:br w:type="page"/>
        <w:t>GENERAL</w:t>
      </w:r>
    </w:p>
    <w:p>
      <w:pPr>
        <w:pStyle w:val="P36"/>
      </w:pPr>
      <w:r>
        <w:t>General</w:t>
      </w:r>
    </w:p>
    <w:p>
      <w:pPr>
        <w:pStyle w:val="P37"/>
      </w:pPr>
      <w:bookmarkStart w:id="0" w:name="_Toc16497324"/>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7"/>
      </w:pPr>
      <w:r>
        <w:t>The Contractor is to clearly identify on the shop drawings any deviation from the specification.</w:t>
      </w:r>
    </w:p>
    <w:p>
      <w:pPr>
        <w:pStyle w:val="P37"/>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7"/>
      </w:pPr>
      <w:r>
        <w:t>Contractor is to furnish copies of the manufacturer’s warranties.</w:t>
      </w:r>
    </w:p>
    <w:p>
      <w:pPr>
        <w:pStyle w:val="P37"/>
      </w:pPr>
      <w:r>
        <w:t>Contractor is to provide, through the Instrumentation Supplier, sludge blanket analyzer, complete and operable, in accordance with the Contract Documents.</w:t>
      </w:r>
    </w:p>
    <w:p>
      <w:pPr>
        <w:pStyle w:val="P36"/>
      </w:pPr>
      <w:r>
        <w:t>Measurement and Payment</w:t>
      </w:r>
    </w:p>
    <w:p>
      <w:pPr>
        <w:pStyle w:val="P37"/>
      </w:pPr>
      <w:r>
        <w:t>The work outlined in this section shall be included in the lump sum price for Section 13170 – Sludge Blanket Level as indicated in the Bid Form.</w:t>
      </w:r>
    </w:p>
    <w:p>
      <w:pPr>
        <w:pStyle w:val="P36"/>
      </w:pPr>
      <w:bookmarkEnd w:id="0"/>
      <w:bookmarkStart w:id="1" w:name="_Toc16497325"/>
      <w:r>
        <w:t>Sensor</w:t>
      </w:r>
      <w:bookmarkEnd w:id="1"/>
    </w:p>
    <w:p>
      <w:pPr>
        <w:pStyle w:val="P37"/>
      </w:pPr>
      <w:r>
        <w:t xml:space="preserve">Type: Submersible Head Ultrasonic. </w:t>
      </w:r>
    </w:p>
    <w:p>
      <w:pPr>
        <w:pStyle w:val="P37"/>
      </w:pPr>
      <w:r>
        <w:t>Mounting: 316 SS swing out brackets and all mounting hardware for skimmer guard or stationary as required by the process.</w:t>
      </w:r>
    </w:p>
    <w:p>
      <w:pPr>
        <w:pStyle w:val="P37"/>
      </w:pPr>
      <w:r>
        <w:t>Housing: NEMA 4X corrosive resistant housing and mounting hardware.</w:t>
      </w:r>
    </w:p>
    <w:p>
      <w:pPr>
        <w:pStyle w:val="P36"/>
      </w:pPr>
      <w:bookmarkStart w:id="2" w:name="_Toc16497326"/>
      <w:r>
        <w:t>Transmitter / Controller</w:t>
      </w:r>
      <w:bookmarkEnd w:id="2"/>
    </w:p>
    <w:p>
      <w:pPr>
        <w:pStyle w:val="P37"/>
      </w:pPr>
      <w:r>
        <w:t>Provide self-testing, speed of sound calculations and automatic calibration.</w:t>
      </w:r>
    </w:p>
    <w:p>
      <w:pPr>
        <w:pStyle w:val="P37"/>
      </w:pPr>
      <w:r>
        <w:t>Set-up and calibration from user programmable and/or predetermined choices accessible from menu prompts.</w:t>
      </w:r>
    </w:p>
    <w:p>
      <w:pPr>
        <w:pStyle w:val="P37"/>
      </w:pPr>
      <w:r>
        <w:t>Provide NEMA 4X corrosive resistant housing and mounting hardware for remote wall mounting.</w:t>
      </w:r>
    </w:p>
    <w:p>
      <w:pPr>
        <w:pStyle w:val="P37"/>
      </w:pPr>
      <w:r>
        <w:t xml:space="preserve">Provide equipment tag wired to transmitter and to sensor in accordance with </w:t>
      </w:r>
      <w:r>
        <w:rPr>
          <w:highlight w:val="yellow"/>
        </w:rPr>
        <w:t>Section 01080 – Process Equipment Location Tagging</w:t>
      </w:r>
      <w:r>
        <w:t>.</w:t>
      </w:r>
    </w:p>
    <w:p>
      <w:pPr>
        <w:pStyle w:val="P35"/>
      </w:pPr>
      <w:bookmarkStart w:id="3" w:name="_Toc15372463"/>
      <w:bookmarkStart w:id="4" w:name="_Toc16497327"/>
      <w:r>
        <w:t>INSTALLATION</w:t>
      </w:r>
      <w:bookmarkEnd w:id="3"/>
      <w:bookmarkEnd w:id="4"/>
    </w:p>
    <w:p>
      <w:pPr>
        <w:pStyle w:val="P36"/>
      </w:pPr>
      <w:bookmarkStart w:id="5" w:name="_Toc15372464"/>
      <w:bookmarkStart w:id="6" w:name="_Toc16497328"/>
      <w:r>
        <w:t>General</w:t>
      </w:r>
      <w:bookmarkEnd w:id="5"/>
      <w:bookmarkEnd w:id="6"/>
    </w:p>
    <w:p>
      <w:pPr>
        <w:pStyle w:val="P37"/>
      </w:pPr>
      <w:r>
        <w:t>The following installation requirements are in addition to or deviations from the requirements set forth for instrumentation in Section 13105 – Process Control: General Instrumentation Standard.</w:t>
      </w:r>
    </w:p>
    <w:p>
      <w:pPr>
        <w:pStyle w:val="P37"/>
      </w:pPr>
      <w:r>
        <w:t xml:space="preserve">Provide all miscellaneous mounting hardware not provided with analyzer.  Select type and material for the application.</w:t>
      </w:r>
    </w:p>
    <w:p>
      <w:pPr>
        <w:pStyle w:val="P37"/>
      </w:pPr>
      <w:r>
        <w:t>Provide a local junction box for wiring to allow withdrawal of the probe for maintenance.</w:t>
      </w:r>
    </w:p>
    <w:p>
      <w:pPr>
        <w:pStyle w:val="P37"/>
      </w:pPr>
      <w:r>
        <w:t>Ensure that the system is on-line 24 hours before start up and calibration for adequate warm up.</w:t>
      </w:r>
    </w:p>
    <w:p>
      <w:pPr>
        <w:pStyle w:val="P37"/>
      </w:pPr>
      <w:r>
        <w:t>Samples shall not pass through housings containing electronics unless indicated otherwise.</w:t>
      </w:r>
    </w:p>
    <w:p>
      <w:pPr>
        <w:pStyle w:val="P37"/>
      </w:pPr>
      <w:r>
        <w:t>Each analyzer shall be fitted with calibration connections at the analyzer.</w:t>
      </w:r>
    </w:p>
    <w:p>
      <w:pPr>
        <w:pStyle w:val="P37"/>
      </w:pPr>
      <w:r>
        <w:t>All electrodes, fittings, and transmitters on analyzers measuring the same parameter shall be products of a single manufacturer.</w:t>
      </w:r>
    </w:p>
    <w:p>
      <w:pPr>
        <w:pStyle w:val="P37"/>
      </w:pPr>
      <w:r>
        <w:t xml:space="preserve">Transmitter/Electronics not mounted/installed indoors must be installed within fiberglass enclosure with viewing window, thermostat and heater.  Panel heater to be powered from separate circuit than instrument. </w:t>
      </w:r>
    </w:p>
    <w:p>
      <w:pPr>
        <w:pStyle w:val="P38"/>
        <w:numPr>
          <w:ilvl w:val="3"/>
          <w:numId w:val="0"/>
        </w:numPr>
        <w:ind w:left="5040"/>
        <w:rPr>
          <w:rFonts w:ascii="Calibri" w:hAnsi="Calibri"/>
        </w:rPr>
      </w:pPr>
    </w:p>
    <w:p>
      <w:pPr>
        <w:pStyle w:val="P35"/>
      </w:pPr>
      <w:bookmarkStart w:id="7" w:name="_Toc16568127"/>
      <w:bookmarkStart w:id="8" w:name="_Toc16497330"/>
      <w:r>
        <w:t>ACCEPTABLE MANUFACTURERS</w:t>
      </w:r>
      <w:bookmarkEnd w:id="7"/>
    </w:p>
    <w:p>
      <w:pPr>
        <w:pStyle w:val="P37"/>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7"/>
      </w:pPr>
    </w:p>
    <w:tbl>
      <w:tblPr>
        <w:tblStyle w:val="T2"/>
        <w:tblW w:w="0" w:type="auto"/>
        <w:tblInd w:w="13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1354"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rPr>
                <w:rFonts w:ascii="Calibri" w:hAnsi="Calibri"/>
                <w:b w:val="1"/>
              </w:rPr>
            </w:pPr>
            <w:r>
              <w:rPr>
                <w:rFonts w:ascii="Calibri" w:hAnsi="Calibri"/>
                <w:b w:val="1"/>
              </w:rPr>
              <w:t>Prefe</w:t>
            </w:r>
            <w:r>
              <w:rPr>
                <w:rFonts w:ascii="Calibri" w:hAnsi="Calibri"/>
                <w:b w:val="1"/>
              </w:rPr>
              <w:t xml:space="preserve">rence </w:t>
            </w:r>
          </w:p>
        </w:tc>
        <w:tc>
          <w:tcPr>
            <w:tcW w:w="1764"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rPr>
                <w:rFonts w:ascii="Calibri" w:hAnsi="Calibri"/>
                <w:b w:val="1"/>
              </w:rPr>
            </w:pPr>
            <w:r>
              <w:rPr>
                <w:rFonts w:ascii="Calibri" w:hAnsi="Calibri"/>
                <w:b w:val="1"/>
              </w:rPr>
              <w:t>Manufacturer</w:t>
            </w:r>
          </w:p>
        </w:tc>
        <w:tc>
          <w:tcPr>
            <w:tcW w:w="2693"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rPr>
                <w:rFonts w:ascii="Calibri" w:hAnsi="Calibri"/>
                <w:b w:val="1"/>
              </w:rPr>
            </w:pPr>
            <w:r>
              <w:rPr>
                <w:rFonts w:ascii="Calibri" w:hAnsi="Calibri"/>
                <w:b w:val="1"/>
              </w:rPr>
              <w:t>Model</w:t>
            </w:r>
          </w:p>
        </w:tc>
      </w:tr>
      <w:tr>
        <w:trPr>
          <w:wAfter w:w="0" w:type="dxa"/>
        </w:trPr>
        <w:tc>
          <w:tcPr>
            <w:tcW w:w="1354" w:type="dxa"/>
            <w:tcBorders>
              <w:top w:val="single" w:sz="18" w:space="0" w:shadow="0" w:frame="0" w:color="000000"/>
            </w:tcBorders>
          </w:tcPr>
          <w:p>
            <w:pPr>
              <w:pStyle w:val="P38"/>
              <w:numPr>
                <w:ilvl w:val="3"/>
                <w:numId w:val="0"/>
              </w:numPr>
              <w:rPr>
                <w:rFonts w:ascii="Calibri" w:hAnsi="Calibri"/>
              </w:rPr>
            </w:pPr>
            <w:r>
              <w:rPr>
                <w:rFonts w:ascii="Calibri" w:hAnsi="Calibri"/>
              </w:rPr>
              <w:t>1</w:t>
            </w:r>
          </w:p>
        </w:tc>
        <w:tc>
          <w:tcPr>
            <w:tcW w:w="1764" w:type="dxa"/>
            <w:tcBorders>
              <w:top w:val="single" w:sz="18" w:space="0" w:shadow="0" w:frame="0" w:color="000000"/>
            </w:tcBorders>
          </w:tcPr>
          <w:p>
            <w:pPr>
              <w:pStyle w:val="P38"/>
              <w:numPr>
                <w:ilvl w:val="3"/>
                <w:numId w:val="0"/>
              </w:numPr>
              <w:rPr>
                <w:rFonts w:ascii="Calibri" w:hAnsi="Calibri"/>
              </w:rPr>
            </w:pPr>
            <w:r>
              <w:rPr>
                <w:rFonts w:ascii="Calibri" w:hAnsi="Calibri"/>
              </w:rPr>
              <w:t>Royce</w:t>
            </w:r>
          </w:p>
        </w:tc>
        <w:tc>
          <w:tcPr>
            <w:tcW w:w="2693" w:type="dxa"/>
            <w:tcBorders>
              <w:top w:val="single" w:sz="18" w:space="0" w:shadow="0" w:frame="0" w:color="000000"/>
            </w:tcBorders>
          </w:tcPr>
          <w:p>
            <w:pPr>
              <w:pStyle w:val="P38"/>
              <w:numPr>
                <w:ilvl w:val="3"/>
                <w:numId w:val="0"/>
              </w:numPr>
              <w:rPr>
                <w:rFonts w:ascii="Calibri" w:hAnsi="Calibri"/>
              </w:rPr>
            </w:pPr>
            <w:r>
              <w:rPr>
                <w:rFonts w:ascii="Calibri" w:hAnsi="Calibri"/>
              </w:rPr>
              <w:t>Interface Level Analyzer</w:t>
            </w:r>
          </w:p>
        </w:tc>
      </w:tr>
      <w:tr>
        <w:trPr>
          <w:wAfter w:w="0" w:type="dxa"/>
        </w:trPr>
        <w:tc>
          <w:tcPr>
            <w:tcW w:w="1354" w:type="dxa"/>
          </w:tcPr>
          <w:p>
            <w:pPr>
              <w:pStyle w:val="P38"/>
              <w:numPr>
                <w:ilvl w:val="3"/>
                <w:numId w:val="0"/>
              </w:numPr>
              <w:rPr>
                <w:rFonts w:ascii="Calibri" w:hAnsi="Calibri"/>
              </w:rPr>
            </w:pPr>
            <w:r>
              <w:rPr>
                <w:rFonts w:ascii="Calibri" w:hAnsi="Calibri"/>
              </w:rPr>
              <w:t>2</w:t>
            </w:r>
          </w:p>
        </w:tc>
        <w:tc>
          <w:tcPr>
            <w:tcW w:w="1764" w:type="dxa"/>
          </w:tcPr>
          <w:p>
            <w:pPr>
              <w:pStyle w:val="P38"/>
              <w:numPr>
                <w:ilvl w:val="3"/>
                <w:numId w:val="0"/>
              </w:numPr>
              <w:rPr>
                <w:rFonts w:ascii="Calibri" w:hAnsi="Calibri"/>
              </w:rPr>
            </w:pPr>
            <w:r>
              <w:rPr>
                <w:rFonts w:ascii="Calibri" w:hAnsi="Calibri"/>
              </w:rPr>
              <w:t>Hach</w:t>
            </w:r>
          </w:p>
        </w:tc>
        <w:tc>
          <w:tcPr>
            <w:tcW w:w="2693" w:type="dxa"/>
          </w:tcPr>
          <w:p>
            <w:pPr>
              <w:pStyle w:val="P38"/>
              <w:numPr>
                <w:ilvl w:val="3"/>
                <w:numId w:val="0"/>
              </w:numPr>
              <w:rPr>
                <w:rFonts w:ascii="Calibri" w:hAnsi="Calibri"/>
              </w:rPr>
            </w:pPr>
            <w:r>
              <w:rPr>
                <w:rFonts w:ascii="Calibri" w:hAnsi="Calibri"/>
              </w:rPr>
              <w:t>Sonatax</w:t>
            </w:r>
          </w:p>
        </w:tc>
      </w:tr>
      <w:tr>
        <w:trPr>
          <w:wAfter w:w="0" w:type="dxa"/>
        </w:trPr>
        <w:tc>
          <w:tcPr>
            <w:tcW w:w="1354" w:type="dxa"/>
          </w:tcPr>
          <w:p>
            <w:pPr>
              <w:pStyle w:val="P38"/>
              <w:numPr>
                <w:ilvl w:val="3"/>
                <w:numId w:val="0"/>
              </w:numPr>
              <w:rPr>
                <w:rFonts w:ascii="Calibri" w:hAnsi="Calibri"/>
              </w:rPr>
            </w:pPr>
            <w:r>
              <w:rPr>
                <w:rFonts w:ascii="Calibri" w:hAnsi="Calibri"/>
              </w:rPr>
              <w:t>3</w:t>
            </w:r>
          </w:p>
        </w:tc>
        <w:tc>
          <w:tcPr>
            <w:tcW w:w="1764" w:type="dxa"/>
          </w:tcPr>
          <w:p>
            <w:pPr>
              <w:pStyle w:val="P38"/>
              <w:numPr>
                <w:ilvl w:val="3"/>
                <w:numId w:val="0"/>
              </w:numPr>
              <w:rPr>
                <w:rFonts w:ascii="Calibri" w:hAnsi="Calibri"/>
              </w:rPr>
            </w:pPr>
          </w:p>
        </w:tc>
        <w:tc>
          <w:tcPr>
            <w:tcW w:w="2693" w:type="dxa"/>
          </w:tcPr>
          <w:p>
            <w:pPr>
              <w:pStyle w:val="P38"/>
              <w:numPr>
                <w:ilvl w:val="3"/>
                <w:numId w:val="0"/>
              </w:numPr>
              <w:rPr>
                <w:rFonts w:ascii="Calibri" w:hAnsi="Calibri"/>
              </w:rPr>
            </w:pPr>
          </w:p>
        </w:tc>
      </w:tr>
    </w:tbl>
    <w:p>
      <w:pPr>
        <w:pStyle w:val="P37"/>
      </w:pPr>
      <w:r>
        <w:t>The Contractor is to select the appropriate options to suit the application and the requirements of the specification.</w:t>
      </w:r>
    </w:p>
    <w:p>
      <w:pPr>
        <w:pStyle w:val="P37"/>
      </w:pPr>
      <w:r>
        <w:t>Where second and third named manufacturers are provided, they are to meet the performance specifications of the first named manufacturer.</w:t>
      </w:r>
    </w:p>
    <w:p>
      <w:pPr>
        <w:pStyle w:val="P36"/>
        <w:numPr>
          <w:ilvl w:val="1"/>
          <w:numId w:val="50"/>
        </w:numPr>
      </w:pPr>
      <w:r>
        <w:t>Sludge Blanket Analyzer</w:t>
      </w:r>
      <w:bookmarkEnd w:id="8"/>
    </w:p>
    <w:p>
      <w:pPr>
        <w:pStyle w:val="P4"/>
        <w:rPr>
          <w:rFonts w:ascii="Calibri" w:hAnsi="Calibri"/>
        </w:rPr>
      </w:pPr>
      <w:r>
        <w:rPr>
          <w:rFonts w:ascii="Calibri" w:hAnsi="Calibri"/>
        </w:rPr>
        <w:t>First Named Manufacturer:</w:t>
      </w:r>
    </w:p>
    <w:tbl>
      <w:tblPr>
        <w:tblStyle w:val="T2"/>
        <w:tblW w:w="5659"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1832"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3827" w:type="dxa"/>
            <w:vAlign w:val="center"/>
          </w:tcPr>
          <w:p>
            <w:pPr>
              <w:jc w:val="center"/>
              <w:rPr>
                <w:rFonts w:ascii="Calibri" w:hAnsi="Calibri"/>
                <w:color w:val="000000"/>
                <w:highlight w:val="yellow"/>
              </w:rPr>
            </w:pPr>
            <w:r>
              <w:rPr>
                <w:rFonts w:ascii="Calibri" w:hAnsi="Calibri"/>
                <w:color w:val="000000"/>
                <w:highlight w:val="yellow"/>
              </w:rPr>
              <w:t>Clarifier</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3827" w:type="dxa"/>
            <w:vAlign w:val="center"/>
          </w:tcPr>
          <w:p>
            <w:pPr>
              <w:jc w:val="center"/>
              <w:rPr>
                <w:rFonts w:ascii="Calibri" w:hAnsi="Calibri"/>
                <w:color w:val="000000"/>
                <w:highlight w:val="yellow"/>
              </w:rPr>
            </w:pP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3827"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3827" w:type="dxa"/>
            <w:vAlign w:val="center"/>
          </w:tcPr>
          <w:p>
            <w:pPr>
              <w:jc w:val="center"/>
              <w:rPr>
                <w:rFonts w:ascii="Calibri" w:hAnsi="Calibri"/>
                <w:color w:val="000000"/>
                <w:highlight w:val="yellow"/>
              </w:rPr>
            </w:pPr>
            <w:r>
              <w:rPr>
                <w:rFonts w:ascii="Calibri" w:hAnsi="Calibri"/>
                <w:color w:val="000000"/>
                <w:highlight w:val="yellow"/>
              </w:rPr>
              <w:t>13170A</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3827" w:type="dxa"/>
            <w:vAlign w:val="center"/>
          </w:tcPr>
          <w:p>
            <w:pPr>
              <w:jc w:val="center"/>
              <w:rPr>
                <w:rFonts w:ascii="Calibri" w:hAnsi="Calibri"/>
                <w:color w:val="000000"/>
                <w:highlight w:val="yellow"/>
              </w:rPr>
            </w:pPr>
            <w:r>
              <w:rPr>
                <w:rFonts w:ascii="Calibri" w:hAnsi="Calibri"/>
                <w:color w:val="000000"/>
                <w:highlight w:val="yellow"/>
              </w:rPr>
              <w:t>Secondary Clarifier Water</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3827"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Chemicals:</w:t>
            </w:r>
          </w:p>
        </w:tc>
        <w:tc>
          <w:tcPr>
            <w:tcW w:w="3827" w:type="dxa"/>
            <w:vAlign w:val="center"/>
          </w:tcPr>
          <w:p>
            <w:pPr>
              <w:jc w:val="center"/>
              <w:rPr>
                <w:rFonts w:ascii="Calibri" w:hAnsi="Calibri"/>
                <w:color w:val="000000"/>
                <w:highlight w:val="yellow"/>
              </w:rPr>
            </w:pPr>
            <w:r>
              <w:rPr>
                <w:rFonts w:ascii="Calibri" w:hAnsi="Calibri"/>
                <w:color w:val="000000"/>
                <w:highlight w:val="yellow"/>
              </w:rPr>
              <w:t>Minimal</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Tank Depth:</w:t>
            </w:r>
          </w:p>
        </w:tc>
        <w:tc>
          <w:tcPr>
            <w:tcW w:w="3827" w:type="dxa"/>
            <w:vAlign w:val="center"/>
          </w:tcPr>
          <w:p>
            <w:pPr>
              <w:jc w:val="center"/>
              <w:rPr>
                <w:rFonts w:ascii="Calibri" w:hAnsi="Calibri"/>
                <w:color w:val="000000"/>
                <w:highlight w:val="yellow"/>
              </w:rPr>
            </w:pPr>
            <w:r>
              <w:rPr>
                <w:rFonts w:ascii="Calibri" w:hAnsi="Calibri"/>
                <w:color w:val="000000"/>
                <w:highlight w:val="yellow"/>
              </w:rPr>
              <w:t>4 Meters Max.</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Sludge Collection:</w:t>
            </w:r>
          </w:p>
        </w:tc>
        <w:tc>
          <w:tcPr>
            <w:tcW w:w="3827" w:type="dxa"/>
            <w:vAlign w:val="center"/>
          </w:tcPr>
          <w:p>
            <w:pPr>
              <w:jc w:val="center"/>
              <w:rPr>
                <w:rFonts w:ascii="Calibri" w:hAnsi="Calibri"/>
                <w:color w:val="000000"/>
                <w:highlight w:val="yellow"/>
              </w:rPr>
            </w:pPr>
            <w:r>
              <w:rPr>
                <w:rFonts w:ascii="Calibri" w:hAnsi="Calibri"/>
                <w:color w:val="000000"/>
                <w:highlight w:val="yellow"/>
              </w:rPr>
              <w:t>Chain and Flight</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Sensor:</w:t>
            </w:r>
          </w:p>
        </w:tc>
        <w:tc>
          <w:tcPr>
            <w:tcW w:w="3827" w:type="dxa"/>
            <w:vAlign w:val="center"/>
          </w:tcPr>
          <w:p>
            <w:pPr>
              <w:jc w:val="center"/>
              <w:rPr>
                <w:rFonts w:ascii="Calibri" w:hAnsi="Calibri"/>
                <w:color w:val="000000"/>
                <w:highlight w:val="yellow"/>
              </w:rPr>
            </w:pPr>
          </w:p>
        </w:tc>
      </w:tr>
      <w:tr>
        <w:trPr>
          <w:wAfter w:w="0" w:type="dxa"/>
          <w:trHeight w:hRule="exact" w:val="40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3827" w:type="dxa"/>
            <w:vAlign w:val="center"/>
          </w:tcPr>
          <w:p>
            <w:pPr>
              <w:jc w:val="center"/>
              <w:rPr>
                <w:rFonts w:ascii="Calibri" w:hAnsi="Calibri"/>
                <w:color w:val="000000"/>
                <w:highlight w:val="yellow"/>
              </w:rPr>
            </w:pPr>
            <w:r>
              <w:rPr>
                <w:rFonts w:ascii="Calibri" w:hAnsi="Calibri"/>
                <w:color w:val="000000"/>
                <w:highlight w:val="yellow"/>
              </w:rPr>
              <w:t>Ultrasonic, Dual Crystal</w:t>
            </w:r>
          </w:p>
        </w:tc>
      </w:tr>
      <w:tr>
        <w:trPr>
          <w:wAfter w:w="0" w:type="dxa"/>
          <w:trHeight w:hRule="exact" w:val="376"/>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3827" w:type="dxa"/>
            <w:vAlign w:val="center"/>
          </w:tcPr>
          <w:p>
            <w:pPr>
              <w:jc w:val="center"/>
              <w:rPr>
                <w:rFonts w:ascii="Calibri" w:hAnsi="Calibri"/>
                <w:color w:val="000000"/>
              </w:rPr>
            </w:pPr>
            <w:r>
              <w:rPr>
                <w:rFonts w:ascii="Calibri" w:hAnsi="Calibri"/>
                <w:color w:val="000000"/>
              </w:rPr>
              <w:t>Royce</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3827" w:type="dxa"/>
            <w:vAlign w:val="center"/>
          </w:tcPr>
          <w:p>
            <w:pPr>
              <w:jc w:val="center"/>
              <w:rPr>
                <w:rFonts w:ascii="Calibri" w:hAnsi="Calibri"/>
                <w:color w:val="000000"/>
              </w:rPr>
            </w:pPr>
            <w:r>
              <w:rPr>
                <w:rFonts w:ascii="Calibri" w:hAnsi="Calibri"/>
                <w:color w:val="000000"/>
                <w:highlight w:val="yellow"/>
              </w:rPr>
              <w:t>25DN</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rPr>
                <w:rFonts w:ascii="Calibri" w:hAnsi="Calibri"/>
              </w:rPr>
            </w:pPr>
            <w:r>
              <w:rPr>
                <w:rFonts w:ascii="Calibri" w:hAnsi="Calibri"/>
                <w:b w:val="1"/>
                <w:u w:val="single"/>
              </w:rPr>
              <w:t>Accessories</w:t>
            </w:r>
            <w:r>
              <w:rPr>
                <w:rFonts w:ascii="Calibri" w:hAnsi="Calibri"/>
              </w:rPr>
              <w:t>:</w:t>
            </w:r>
          </w:p>
        </w:tc>
        <w:tc>
          <w:tcPr>
            <w:tcW w:w="3827" w:type="dxa"/>
            <w:vAlign w:val="center"/>
          </w:tcPr>
          <w:p>
            <w:pPr>
              <w:jc w:val="center"/>
              <w:rPr>
                <w:rFonts w:ascii="Calibri" w:hAnsi="Calibri"/>
                <w:color w:val="000000"/>
                <w:highlight w:val="yellow"/>
              </w:rPr>
            </w:pP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827" w:type="dxa"/>
            <w:vAlign w:val="center"/>
          </w:tcPr>
          <w:p>
            <w:pPr>
              <w:jc w:val="center"/>
              <w:rPr>
                <w:rFonts w:ascii="Calibri" w:hAnsi="Calibri"/>
                <w:color w:val="000000"/>
                <w:highlight w:val="yellow"/>
              </w:rPr>
            </w:pPr>
            <w:r>
              <w:rPr>
                <w:rFonts w:ascii="Calibri" w:hAnsi="Calibri"/>
              </w:rPr>
              <w:t>Royce Swing Unit</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827" w:type="dxa"/>
            <w:vAlign w:val="center"/>
          </w:tcPr>
          <w:p>
            <w:pPr>
              <w:jc w:val="center"/>
              <w:rPr>
                <w:rFonts w:ascii="Calibri" w:hAnsi="Calibri"/>
              </w:rPr>
            </w:pPr>
            <w:r>
              <w:rPr>
                <w:rFonts w:ascii="Calibri" w:hAnsi="Calibri"/>
              </w:rPr>
              <w:t>Skimmer</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827" w:type="dxa"/>
            <w:vAlign w:val="center"/>
          </w:tcPr>
          <w:p>
            <w:pPr>
              <w:jc w:val="center"/>
              <w:rPr>
                <w:rFonts w:ascii="Calibri" w:hAnsi="Calibri"/>
                <w:color w:val="000000"/>
                <w:highlight w:val="yellow"/>
              </w:rPr>
            </w:pPr>
            <w:r>
              <w:rPr>
                <w:rFonts w:ascii="Calibri" w:hAnsi="Calibri"/>
                <w:color w:val="000000"/>
                <w:highlight w:val="yellow"/>
              </w:rPr>
              <w:t>Royce Mounting Kit</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827" w:type="dxa"/>
            <w:vAlign w:val="center"/>
          </w:tcPr>
          <w:p>
            <w:pPr>
              <w:jc w:val="center"/>
              <w:rPr>
                <w:rFonts w:ascii="Calibri" w:hAnsi="Calibri"/>
              </w:rPr>
            </w:pPr>
            <w:r>
              <w:rPr>
                <w:rFonts w:ascii="Calibri" w:hAnsi="Calibri"/>
                <w:highlight w:val="yellow"/>
              </w:rPr>
              <w:t>Pipe Mounting Bracket Kit</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827" w:type="dxa"/>
            <w:vAlign w:val="center"/>
          </w:tcPr>
          <w:p>
            <w:pPr>
              <w:jc w:val="center"/>
              <w:rPr>
                <w:rFonts w:ascii="Calibri" w:hAnsi="Calibri"/>
                <w:highlight w:val="yellow"/>
              </w:rPr>
            </w:pPr>
            <w:r>
              <w:rPr>
                <w:rFonts w:ascii="Calibri" w:hAnsi="Calibri"/>
                <w:i w:val="1"/>
                <w:color w:val="000000"/>
                <w:highlight w:val="yellow"/>
              </w:rPr>
              <w:t>Additional added as necessary</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T</w:t>
            </w:r>
            <w:r>
              <w:rPr>
                <w:rFonts w:ascii="Calibri" w:hAnsi="Calibri"/>
                <w:b w:val="1"/>
                <w:u w:val="single"/>
              </w:rPr>
              <w:t>ransmitter:</w:t>
            </w:r>
          </w:p>
        </w:tc>
        <w:tc>
          <w:tcPr>
            <w:tcW w:w="3827" w:type="dxa"/>
            <w:vAlign w:val="center"/>
          </w:tcPr>
          <w:p>
            <w:pPr>
              <w:jc w:val="center"/>
              <w:rPr>
                <w:rFonts w:ascii="Calibri" w:hAnsi="Calibri"/>
                <w:color w:val="000000"/>
                <w:highlight w:val="yellow"/>
              </w:rPr>
            </w:pP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Analog Output:</w:t>
            </w:r>
          </w:p>
        </w:tc>
        <w:tc>
          <w:tcPr>
            <w:tcW w:w="3827" w:type="dxa"/>
            <w:vAlign w:val="center"/>
          </w:tcPr>
          <w:p>
            <w:pPr>
              <w:jc w:val="center"/>
              <w:rPr>
                <w:rFonts w:ascii="Calibri" w:hAnsi="Calibri"/>
                <w:color w:val="000000"/>
              </w:rPr>
            </w:pPr>
            <w:r>
              <w:rPr>
                <w:rFonts w:ascii="Calibri" w:hAnsi="Calibri"/>
                <w:color w:val="000000"/>
              </w:rPr>
              <w:t xml:space="preserve">4 - 20 mA DC isolated (600 </w:t>
            </w:r>
            <w:r>
              <w:rPr>
                <w:rFonts w:ascii="Symbol" w:hAnsi="Symbol"/>
                <w:color w:val="000000"/>
              </w:rPr>
              <w:t>W</w:t>
            </w:r>
            <w:r>
              <w:rPr>
                <w:rFonts w:ascii="Calibri" w:hAnsi="Calibri"/>
                <w:color w:val="000000"/>
              </w:rPr>
              <w:t>)</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Relays:</w:t>
            </w:r>
          </w:p>
        </w:tc>
        <w:tc>
          <w:tcPr>
            <w:tcW w:w="3827" w:type="dxa"/>
            <w:vAlign w:val="center"/>
          </w:tcPr>
          <w:p>
            <w:pPr>
              <w:jc w:val="center"/>
              <w:rPr>
                <w:rFonts w:ascii="Calibri" w:hAnsi="Calibri"/>
                <w:color w:val="000000"/>
              </w:rPr>
            </w:pPr>
            <w:r>
              <w:rPr>
                <w:rFonts w:ascii="Calibri" w:hAnsi="Calibri"/>
                <w:color w:val="000000"/>
              </w:rPr>
              <w:t>4 Form C, 250VAC, 6A</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Manufacturer:</w:t>
            </w:r>
          </w:p>
        </w:tc>
        <w:tc>
          <w:tcPr>
            <w:tcW w:w="3827" w:type="dxa"/>
            <w:vAlign w:val="center"/>
          </w:tcPr>
          <w:p>
            <w:pPr>
              <w:jc w:val="center"/>
              <w:rPr>
                <w:rFonts w:ascii="Calibri" w:hAnsi="Calibri"/>
                <w:color w:val="000000"/>
                <w:highlight w:val="yellow"/>
              </w:rPr>
            </w:pPr>
            <w:r>
              <w:rPr>
                <w:rFonts w:ascii="Calibri" w:hAnsi="Calibri"/>
                <w:color w:val="000000"/>
              </w:rPr>
              <w:t>Royce</w:t>
            </w:r>
          </w:p>
        </w:tc>
      </w:tr>
      <w:tr>
        <w:trPr>
          <w:wAfter w:w="0" w:type="dxa"/>
          <w:trHeight w:hRule="exact" w:val="288"/>
        </w:trPr>
        <w:tc>
          <w:tcPr>
            <w:tcW w:w="1832"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rPr>
              <w:t>Part Number:</w:t>
            </w:r>
          </w:p>
        </w:tc>
        <w:tc>
          <w:tcPr>
            <w:tcW w:w="3827" w:type="dxa"/>
            <w:vAlign w:val="center"/>
          </w:tcPr>
          <w:p>
            <w:pPr>
              <w:jc w:val="center"/>
              <w:rPr>
                <w:rFonts w:ascii="Calibri" w:hAnsi="Calibri"/>
              </w:rPr>
            </w:pPr>
            <w:r>
              <w:rPr>
                <w:rFonts w:ascii="Calibri" w:hAnsi="Calibri"/>
              </w:rPr>
              <w:t>2511A</w:t>
            </w:r>
          </w:p>
        </w:tc>
      </w:tr>
    </w:tbl>
    <w:p>
      <w:pPr>
        <w:pStyle w:val="P38"/>
        <w:numPr>
          <w:ilvl w:val="3"/>
          <w:numId w:val="0"/>
        </w:numPr>
        <w:rPr>
          <w:rFonts w:ascii="Calibri" w:hAnsi="Calibri"/>
        </w:rPr>
      </w:pPr>
    </w:p>
    <w:p>
      <w:pPr>
        <w:pStyle w:val="P4"/>
        <w:rPr>
          <w:rFonts w:ascii="Calibri" w:hAnsi="Calibri"/>
        </w:rPr>
      </w:pPr>
      <w:r>
        <w:rPr>
          <w:rFonts w:ascii="Calibri" w:hAnsi="Calibri"/>
        </w:rPr>
        <w:t>Second Named Manufacturer:</w:t>
      </w:r>
    </w:p>
    <w:tbl>
      <w:tblPr>
        <w:tblStyle w:val="T2"/>
        <w:tblW w:w="6084"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966"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3118" w:type="dxa"/>
            <w:vAlign w:val="center"/>
          </w:tcPr>
          <w:p>
            <w:pPr>
              <w:jc w:val="center"/>
              <w:rPr>
                <w:rFonts w:ascii="Calibri" w:hAnsi="Calibri"/>
                <w:color w:val="000000"/>
                <w:highlight w:val="yellow"/>
              </w:rPr>
            </w:pPr>
            <w:r>
              <w:rPr>
                <w:rFonts w:ascii="Calibri" w:hAnsi="Calibri"/>
                <w:color w:val="000000"/>
                <w:highlight w:val="yellow"/>
              </w:rPr>
              <w:t>Clarifier</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3118" w:type="dxa"/>
            <w:vAlign w:val="center"/>
          </w:tcPr>
          <w:p>
            <w:pPr>
              <w:jc w:val="center"/>
              <w:rPr>
                <w:rFonts w:ascii="Calibri" w:hAnsi="Calibri"/>
                <w:color w:val="000000"/>
                <w:highlight w:val="yellow"/>
              </w:rPr>
            </w:pP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3118"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3118" w:type="dxa"/>
            <w:vAlign w:val="center"/>
          </w:tcPr>
          <w:p>
            <w:pPr>
              <w:jc w:val="center"/>
              <w:rPr>
                <w:rFonts w:ascii="Calibri" w:hAnsi="Calibri"/>
                <w:color w:val="000000"/>
                <w:highlight w:val="yellow"/>
              </w:rPr>
            </w:pPr>
            <w:r>
              <w:rPr>
                <w:rFonts w:ascii="Calibri" w:hAnsi="Calibri"/>
                <w:color w:val="000000"/>
                <w:highlight w:val="yellow"/>
              </w:rPr>
              <w:t>13170A</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3118" w:type="dxa"/>
            <w:vAlign w:val="center"/>
          </w:tcPr>
          <w:p>
            <w:pPr>
              <w:jc w:val="center"/>
              <w:rPr>
                <w:rFonts w:ascii="Calibri" w:hAnsi="Calibri"/>
                <w:color w:val="000000"/>
                <w:highlight w:val="yellow"/>
              </w:rPr>
            </w:pPr>
            <w:r>
              <w:rPr>
                <w:rFonts w:ascii="Calibri" w:hAnsi="Calibri"/>
                <w:color w:val="000000"/>
                <w:highlight w:val="yellow"/>
              </w:rPr>
              <w:t>Secondary Clarifier Water</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3118"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Chemicals:</w:t>
            </w:r>
          </w:p>
        </w:tc>
        <w:tc>
          <w:tcPr>
            <w:tcW w:w="3118" w:type="dxa"/>
            <w:vAlign w:val="center"/>
          </w:tcPr>
          <w:p>
            <w:pPr>
              <w:jc w:val="center"/>
              <w:rPr>
                <w:rFonts w:ascii="Calibri" w:hAnsi="Calibri"/>
                <w:color w:val="000000"/>
                <w:highlight w:val="yellow"/>
              </w:rPr>
            </w:pPr>
            <w:r>
              <w:rPr>
                <w:rFonts w:ascii="Calibri" w:hAnsi="Calibri"/>
                <w:color w:val="000000"/>
                <w:highlight w:val="yellow"/>
              </w:rPr>
              <w:t>Minimal</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Tank Depth:</w:t>
            </w:r>
          </w:p>
        </w:tc>
        <w:tc>
          <w:tcPr>
            <w:tcW w:w="3118" w:type="dxa"/>
            <w:vAlign w:val="center"/>
          </w:tcPr>
          <w:p>
            <w:pPr>
              <w:jc w:val="center"/>
              <w:rPr>
                <w:rFonts w:ascii="Calibri" w:hAnsi="Calibri"/>
                <w:color w:val="000000"/>
                <w:highlight w:val="yellow"/>
              </w:rPr>
            </w:pPr>
            <w:r>
              <w:rPr>
                <w:rFonts w:ascii="Calibri" w:hAnsi="Calibri"/>
                <w:color w:val="000000"/>
                <w:highlight w:val="yellow"/>
              </w:rPr>
              <w:t>4 Meters Max.</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Sludge Collection:</w:t>
            </w:r>
          </w:p>
        </w:tc>
        <w:tc>
          <w:tcPr>
            <w:tcW w:w="3118" w:type="dxa"/>
            <w:vAlign w:val="center"/>
          </w:tcPr>
          <w:p>
            <w:pPr>
              <w:jc w:val="center"/>
              <w:rPr>
                <w:rFonts w:ascii="Calibri" w:hAnsi="Calibri"/>
                <w:color w:val="000000"/>
                <w:highlight w:val="yellow"/>
              </w:rPr>
            </w:pPr>
            <w:r>
              <w:rPr>
                <w:rFonts w:ascii="Calibri" w:hAnsi="Calibri"/>
                <w:color w:val="000000"/>
                <w:highlight w:val="yellow"/>
              </w:rPr>
              <w:t>Chain and Flight</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Probe:</w:t>
            </w:r>
          </w:p>
        </w:tc>
        <w:tc>
          <w:tcPr>
            <w:tcW w:w="3118" w:type="dxa"/>
            <w:vAlign w:val="center"/>
          </w:tcPr>
          <w:p>
            <w:pPr>
              <w:jc w:val="center"/>
              <w:rPr>
                <w:rFonts w:ascii="Calibri" w:hAnsi="Calibri"/>
                <w:color w:val="000000"/>
                <w:highlight w:val="yellow"/>
              </w:rPr>
            </w:pPr>
          </w:p>
        </w:tc>
      </w:tr>
      <w:tr>
        <w:trPr>
          <w:wAfter w:w="0" w:type="dxa"/>
          <w:trHeight w:hRule="exact" w:val="402"/>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3118" w:type="dxa"/>
            <w:vAlign w:val="center"/>
          </w:tcPr>
          <w:p>
            <w:pPr>
              <w:jc w:val="center"/>
              <w:rPr>
                <w:rFonts w:ascii="Calibri" w:hAnsi="Calibri"/>
                <w:color w:val="000000"/>
                <w:highlight w:val="yellow"/>
              </w:rPr>
            </w:pPr>
            <w:r>
              <w:rPr>
                <w:rFonts w:ascii="Calibri" w:hAnsi="Calibri"/>
                <w:color w:val="000000"/>
              </w:rPr>
              <w:t>SONOTAX sc Sludge Level Probe</w:t>
            </w:r>
          </w:p>
        </w:tc>
      </w:tr>
      <w:tr>
        <w:trPr>
          <w:wAfter w:w="0" w:type="dxa"/>
          <w:trHeight w:hRule="exact" w:val="35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Hardware:</w:t>
            </w:r>
          </w:p>
        </w:tc>
        <w:tc>
          <w:tcPr>
            <w:tcW w:w="3118" w:type="dxa"/>
            <w:vAlign w:val="center"/>
          </w:tcPr>
          <w:p>
            <w:pPr>
              <w:jc w:val="center"/>
              <w:rPr>
                <w:rFonts w:ascii="Calibri" w:hAnsi="Calibri"/>
                <w:color w:val="000000"/>
              </w:rPr>
            </w:pPr>
            <w:r>
              <w:rPr>
                <w:rFonts w:ascii="Calibri" w:hAnsi="Calibri"/>
                <w:color w:val="000000"/>
                <w:highlight w:val="yellow"/>
              </w:rPr>
              <w:t>Pivot Mount Hardware</w:t>
            </w:r>
          </w:p>
        </w:tc>
      </w:tr>
      <w:tr>
        <w:trPr>
          <w:wAfter w:w="0" w:type="dxa"/>
          <w:trHeight w:hRule="exact" w:val="269"/>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3118" w:type="dxa"/>
            <w:vAlign w:val="center"/>
          </w:tcPr>
          <w:p>
            <w:pPr>
              <w:jc w:val="center"/>
              <w:rPr>
                <w:rFonts w:ascii="Calibri" w:hAnsi="Calibri"/>
                <w:color w:val="000000"/>
              </w:rPr>
            </w:pPr>
            <w:r>
              <w:rPr>
                <w:rFonts w:ascii="Calibri" w:hAnsi="Calibri"/>
                <w:color w:val="000000"/>
              </w:rPr>
              <w:t>HACH</w:t>
            </w:r>
          </w:p>
        </w:tc>
      </w:tr>
      <w:tr>
        <w:trPr>
          <w:wAfter w:w="0" w:type="dxa"/>
          <w:trHeight w:hRule="exact" w:val="269"/>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3118" w:type="dxa"/>
            <w:vAlign w:val="center"/>
          </w:tcPr>
          <w:p>
            <w:pPr>
              <w:jc w:val="center"/>
              <w:rPr>
                <w:rFonts w:ascii="Calibri" w:hAnsi="Calibri"/>
                <w:color w:val="000000"/>
              </w:rPr>
            </w:pPr>
            <w:r>
              <w:rPr>
                <w:rFonts w:ascii="Calibri" w:hAnsi="Calibri"/>
                <w:color w:val="000000"/>
                <w:highlight w:val="yellow"/>
              </w:rPr>
              <w:t>5773000</w:t>
            </w:r>
          </w:p>
        </w:tc>
      </w:tr>
      <w:tr>
        <w:trPr>
          <w:wAfter w:w="0" w:type="dxa"/>
          <w:trHeight w:hRule="exact" w:val="269"/>
        </w:trPr>
        <w:tc>
          <w:tcPr>
            <w:tcW w:w="2966"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Accessories:</w:t>
            </w:r>
          </w:p>
        </w:tc>
        <w:tc>
          <w:tcPr>
            <w:tcW w:w="3118" w:type="dxa"/>
            <w:vAlign w:val="center"/>
          </w:tcPr>
          <w:p>
            <w:pPr>
              <w:jc w:val="center"/>
              <w:rPr>
                <w:rFonts w:ascii="Calibri" w:hAnsi="Calibri"/>
                <w:color w:val="000000"/>
                <w:highlight w:val="yellow"/>
              </w:rPr>
            </w:pP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7.6m (25ft) Extension Cable</w:t>
            </w:r>
          </w:p>
        </w:tc>
        <w:tc>
          <w:tcPr>
            <w:tcW w:w="3118" w:type="dxa"/>
            <w:vAlign w:val="center"/>
          </w:tcPr>
          <w:p>
            <w:pPr>
              <w:jc w:val="center"/>
              <w:rPr>
                <w:rFonts w:ascii="Calibri" w:hAnsi="Calibri"/>
                <w:color w:val="000000"/>
                <w:highlight w:val="yellow"/>
              </w:rPr>
            </w:pPr>
            <w:r>
              <w:rPr>
                <w:rFonts w:ascii="Calibri" w:hAnsi="Calibri"/>
                <w:color w:val="000000"/>
                <w:highlight w:val="yellow"/>
              </w:rPr>
              <w:t>5796000</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Fixed Point Mount for Probe:</w:t>
            </w:r>
          </w:p>
        </w:tc>
        <w:tc>
          <w:tcPr>
            <w:tcW w:w="3118" w:type="dxa"/>
            <w:vAlign w:val="center"/>
          </w:tcPr>
          <w:p>
            <w:pPr>
              <w:jc w:val="center"/>
              <w:rPr>
                <w:rFonts w:ascii="Calibri" w:hAnsi="Calibri"/>
                <w:color w:val="000000"/>
                <w:highlight w:val="yellow"/>
              </w:rPr>
            </w:pPr>
            <w:r>
              <w:rPr>
                <w:rFonts w:ascii="Calibri" w:hAnsi="Calibri"/>
                <w:color w:val="000000"/>
                <w:highlight w:val="yellow"/>
              </w:rPr>
              <w:t>LZX414.00.70000</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Pivot Mount for Probe (1m):</w:t>
            </w:r>
          </w:p>
        </w:tc>
        <w:tc>
          <w:tcPr>
            <w:tcW w:w="3118" w:type="dxa"/>
            <w:vAlign w:val="center"/>
          </w:tcPr>
          <w:p>
            <w:pPr>
              <w:jc w:val="center"/>
              <w:rPr>
                <w:rFonts w:ascii="Calibri" w:hAnsi="Calibri"/>
                <w:color w:val="000000"/>
                <w:highlight w:val="yellow"/>
              </w:rPr>
            </w:pPr>
            <w:r>
              <w:rPr>
                <w:rFonts w:ascii="Calibri" w:hAnsi="Calibri"/>
                <w:color w:val="000000"/>
                <w:highlight w:val="yellow"/>
              </w:rPr>
              <w:t>LZX414.00.71000</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SONOTAX sc Rail Mounting Assembly:</w:t>
            </w:r>
          </w:p>
        </w:tc>
        <w:tc>
          <w:tcPr>
            <w:tcW w:w="3118" w:type="dxa"/>
            <w:vAlign w:val="center"/>
          </w:tcPr>
          <w:p>
            <w:pPr>
              <w:jc w:val="center"/>
              <w:rPr>
                <w:rFonts w:ascii="Calibri" w:hAnsi="Calibri"/>
                <w:color w:val="000000"/>
                <w:highlight w:val="yellow"/>
              </w:rPr>
            </w:pPr>
            <w:r>
              <w:rPr>
                <w:rFonts w:ascii="Calibri" w:hAnsi="Calibri"/>
                <w:color w:val="000000"/>
                <w:highlight w:val="yellow"/>
              </w:rPr>
              <w:t>LZX414.00.73000</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Wiper Blades for Probe:</w:t>
            </w:r>
          </w:p>
        </w:tc>
        <w:tc>
          <w:tcPr>
            <w:tcW w:w="3118" w:type="dxa"/>
            <w:vAlign w:val="center"/>
          </w:tcPr>
          <w:p>
            <w:pPr>
              <w:jc w:val="center"/>
              <w:rPr>
                <w:rFonts w:ascii="Calibri" w:hAnsi="Calibri"/>
                <w:color w:val="000000"/>
                <w:highlight w:val="yellow"/>
              </w:rPr>
            </w:pPr>
            <w:r>
              <w:rPr>
                <w:rFonts w:ascii="Calibri" w:hAnsi="Calibri"/>
                <w:color w:val="000000"/>
                <w:highlight w:val="yellow"/>
              </w:rPr>
              <w:t>LZX328</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118" w:type="dxa"/>
            <w:vAlign w:val="center"/>
          </w:tcPr>
          <w:p>
            <w:pPr>
              <w:jc w:val="center"/>
              <w:rPr>
                <w:rFonts w:ascii="Calibri" w:hAnsi="Calibri"/>
                <w:color w:val="000000"/>
                <w:highlight w:val="yellow"/>
              </w:rPr>
            </w:pPr>
            <w:r>
              <w:rPr>
                <w:rFonts w:ascii="Calibri" w:hAnsi="Calibri"/>
                <w:i w:val="1"/>
                <w:color w:val="000000"/>
                <w:highlight w:val="yellow"/>
              </w:rPr>
              <w:t>Additional added as necessary</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Transmitt</w:t>
            </w:r>
            <w:r>
              <w:rPr>
                <w:rFonts w:ascii="Calibri" w:hAnsi="Calibri"/>
                <w:b w:val="1"/>
                <w:u w:val="single"/>
              </w:rPr>
              <w:t>er</w:t>
            </w:r>
            <w:r>
              <w:rPr>
                <w:rFonts w:ascii="Calibri" w:hAnsi="Calibri"/>
                <w:b w:val="1"/>
                <w:u w:val="single"/>
              </w:rPr>
              <w:t>:</w:t>
            </w:r>
          </w:p>
        </w:tc>
        <w:tc>
          <w:tcPr>
            <w:tcW w:w="3118" w:type="dxa"/>
            <w:vAlign w:val="center"/>
          </w:tcPr>
          <w:p>
            <w:pPr>
              <w:jc w:val="center"/>
              <w:rPr>
                <w:rFonts w:ascii="Calibri" w:hAnsi="Calibri"/>
                <w:color w:val="000000"/>
                <w:highlight w:val="yellow"/>
              </w:rPr>
            </w:pP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3118" w:type="dxa"/>
            <w:vAlign w:val="center"/>
          </w:tcPr>
          <w:p>
            <w:pPr>
              <w:jc w:val="center"/>
              <w:rPr>
                <w:rFonts w:ascii="Calibri" w:hAnsi="Calibri"/>
                <w:color w:val="000000"/>
              </w:rPr>
            </w:pPr>
            <w:r>
              <w:rPr>
                <w:rFonts w:ascii="Calibri" w:hAnsi="Calibri"/>
                <w:color w:val="000000"/>
              </w:rPr>
              <w:t>Single Probe System</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Model:</w:t>
            </w:r>
          </w:p>
        </w:tc>
        <w:tc>
          <w:tcPr>
            <w:tcW w:w="3118" w:type="dxa"/>
            <w:vAlign w:val="center"/>
          </w:tcPr>
          <w:p>
            <w:pPr>
              <w:jc w:val="center"/>
              <w:rPr>
                <w:rFonts w:ascii="Calibri" w:hAnsi="Calibri"/>
                <w:color w:val="000000"/>
              </w:rPr>
            </w:pPr>
            <w:r>
              <w:rPr>
                <w:rFonts w:ascii="Calibri" w:hAnsi="Calibri"/>
                <w:color w:val="000000"/>
              </w:rPr>
              <w:t>SONOTAX sc System</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Controller:</w:t>
            </w:r>
          </w:p>
        </w:tc>
        <w:tc>
          <w:tcPr>
            <w:tcW w:w="3118" w:type="dxa"/>
            <w:vAlign w:val="center"/>
          </w:tcPr>
          <w:p>
            <w:pPr>
              <w:jc w:val="center"/>
              <w:rPr>
                <w:rFonts w:ascii="Calibri" w:hAnsi="Calibri"/>
                <w:color w:val="000000"/>
              </w:rPr>
            </w:pPr>
            <w:r>
              <w:rPr>
                <w:rFonts w:ascii="Calibri" w:hAnsi="Calibri"/>
                <w:color w:val="000000"/>
              </w:rPr>
              <w:t>sc100 Standard Controller</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Manufacturer:</w:t>
            </w:r>
          </w:p>
        </w:tc>
        <w:tc>
          <w:tcPr>
            <w:tcW w:w="3118" w:type="dxa"/>
            <w:vAlign w:val="center"/>
          </w:tcPr>
          <w:p>
            <w:pPr>
              <w:jc w:val="center"/>
              <w:rPr>
                <w:rFonts w:ascii="Calibri" w:hAnsi="Calibri"/>
                <w:color w:val="000000"/>
                <w:highlight w:val="yellow"/>
              </w:rPr>
            </w:pPr>
            <w:r>
              <w:rPr>
                <w:rFonts w:ascii="Calibri" w:hAnsi="Calibri"/>
                <w:color w:val="000000"/>
              </w:rPr>
              <w:t>HACH</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3118" w:type="dxa"/>
            <w:vAlign w:val="center"/>
          </w:tcPr>
          <w:p>
            <w:pPr>
              <w:jc w:val="center"/>
              <w:rPr>
                <w:rFonts w:ascii="Calibri" w:hAnsi="Calibri"/>
              </w:rPr>
            </w:pPr>
            <w:r>
              <w:rPr>
                <w:rFonts w:ascii="Calibri" w:hAnsi="Calibri"/>
              </w:rPr>
              <w:t>5770400</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Accessories:</w:t>
            </w:r>
          </w:p>
        </w:tc>
        <w:tc>
          <w:tcPr>
            <w:tcW w:w="3118" w:type="dxa"/>
            <w:vAlign w:val="center"/>
          </w:tcPr>
          <w:p>
            <w:pPr>
              <w:jc w:val="center"/>
              <w:rPr>
                <w:rFonts w:ascii="Calibri" w:hAnsi="Calibri"/>
                <w:color w:val="000000"/>
              </w:rPr>
            </w:pPr>
          </w:p>
        </w:tc>
      </w:tr>
      <w:tr>
        <w:trPr>
          <w:wAfter w:w="0" w:type="dxa"/>
          <w:trHeight w:hRule="exact" w:val="576"/>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125V Power Cord with Strain Relief:</w:t>
            </w:r>
          </w:p>
        </w:tc>
        <w:tc>
          <w:tcPr>
            <w:tcW w:w="3118" w:type="dxa"/>
            <w:vAlign w:val="center"/>
          </w:tcPr>
          <w:p>
            <w:pPr>
              <w:jc w:val="center"/>
              <w:rPr>
                <w:rFonts w:ascii="Calibri" w:hAnsi="Calibri"/>
                <w:color w:val="000000"/>
                <w:highlight w:val="yellow"/>
              </w:rPr>
            </w:pPr>
            <w:r>
              <w:rPr>
                <w:rFonts w:ascii="Calibri" w:hAnsi="Calibri"/>
                <w:color w:val="000000"/>
                <w:highlight w:val="yellow"/>
              </w:rPr>
              <w:t>5448800</w:t>
            </w:r>
          </w:p>
        </w:tc>
      </w:tr>
      <w:tr>
        <w:trPr>
          <w:wAfter w:w="0" w:type="dxa"/>
          <w:trHeight w:hRule="exact" w:val="288"/>
        </w:trPr>
        <w:tc>
          <w:tcPr>
            <w:tcW w:w="2966"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rPr>
              <w:t>Sun Shield: for sc100 Controller:</w:t>
            </w:r>
          </w:p>
        </w:tc>
        <w:tc>
          <w:tcPr>
            <w:tcW w:w="3118" w:type="dxa"/>
            <w:vAlign w:val="center"/>
          </w:tcPr>
          <w:p>
            <w:pPr>
              <w:jc w:val="center"/>
              <w:rPr>
                <w:rFonts w:ascii="Calibri" w:hAnsi="Calibri"/>
              </w:rPr>
            </w:pPr>
            <w:r>
              <w:rPr>
                <w:rFonts w:ascii="Calibri" w:hAnsi="Calibri"/>
                <w:color w:val="000000"/>
                <w:highlight w:val="yellow"/>
              </w:rPr>
              <w:t>LZX961.54</w:t>
            </w:r>
          </w:p>
        </w:tc>
      </w:tr>
    </w:tbl>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w:t>
      </w:r>
      <w:r>
        <w:rPr>
          <w:rFonts w:ascii="Calibri" w:hAnsi="Calibri"/>
          <w:b w:val="1"/>
          <w:sz w:val="22"/>
        </w:rPr>
        <w:t>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13170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SLU</w:t>
    </w:r>
    <w:r>
      <w:rPr>
        <w:rFonts w:ascii="Calibri" w:hAnsi="Calibri"/>
        <w:b w:val="1"/>
      </w:rPr>
      <w:t>DGE BLANKET LEVEL</w:t>
    </w:r>
    <w:r>
      <w:rPr>
        <w:rFonts w:ascii="Calibri" w:hAnsi="Calibri"/>
      </w:rPr>
      <w:tab/>
      <w:t>2015-04-17</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13170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SLUDGE BLANKET LEVEL</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13170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SLUDGE BLANKET LEVEL</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2F40F60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080"/>
        <w:tabs>
          <w:tab w:val="left" w:pos="-360" w:leader="none"/>
        </w:tabs>
      </w:pPr>
      <w:rPr/>
    </w:lvl>
    <w:lvl w:ilvl="1" w:tplc="36966D13">
      <w:start w:val="1"/>
      <w:numFmt w:val="bullet"/>
      <w:suff w:val="tab"/>
      <w:lvlText w:val="o"/>
      <w:lvlJc w:val="left"/>
      <w:pPr>
        <w:ind w:hanging="360" w:left="1440"/>
        <w:tabs>
          <w:tab w:val="left" w:pos="1440" w:leader="none"/>
        </w:tabs>
      </w:pPr>
      <w:rPr>
        <w:rFonts w:ascii="Courier New" w:hAnsi="Courier New"/>
      </w:rPr>
    </w:lvl>
    <w:lvl w:ilvl="2" w:tplc="11873A7E">
      <w:start w:val="1"/>
      <w:numFmt w:val="bullet"/>
      <w:suff w:val="tab"/>
      <w:lvlText w:val=""/>
      <w:lvlJc w:val="left"/>
      <w:pPr>
        <w:ind w:hanging="360" w:left="2160"/>
        <w:tabs>
          <w:tab w:val="left" w:pos="2160" w:leader="none"/>
        </w:tabs>
      </w:pPr>
      <w:rPr>
        <w:rFonts w:ascii="Wingdings" w:hAnsi="Wingdings"/>
      </w:rPr>
    </w:lvl>
    <w:lvl w:ilvl="3" w:tplc="415E2041">
      <w:start w:val="1"/>
      <w:numFmt w:val="bullet"/>
      <w:suff w:val="tab"/>
      <w:lvlText w:val=""/>
      <w:lvlJc w:val="left"/>
      <w:pPr>
        <w:ind w:hanging="360" w:left="2880"/>
        <w:tabs>
          <w:tab w:val="left" w:pos="2880" w:leader="none"/>
        </w:tabs>
      </w:pPr>
      <w:rPr>
        <w:rFonts w:ascii="Symbol" w:hAnsi="Symbol"/>
      </w:rPr>
    </w:lvl>
    <w:lvl w:ilvl="4" w:tplc="5FE2EBB6">
      <w:start w:val="1"/>
      <w:numFmt w:val="bullet"/>
      <w:suff w:val="tab"/>
      <w:lvlText w:val="o"/>
      <w:lvlJc w:val="left"/>
      <w:pPr>
        <w:ind w:hanging="360" w:left="3600"/>
        <w:tabs>
          <w:tab w:val="left" w:pos="3600" w:leader="none"/>
        </w:tabs>
      </w:pPr>
      <w:rPr>
        <w:rFonts w:ascii="Courier New" w:hAnsi="Courier New"/>
      </w:rPr>
    </w:lvl>
    <w:lvl w:ilvl="5" w:tplc="6B4C63F8">
      <w:start w:val="1"/>
      <w:numFmt w:val="bullet"/>
      <w:suff w:val="tab"/>
      <w:lvlText w:val=""/>
      <w:lvlJc w:val="left"/>
      <w:pPr>
        <w:ind w:hanging="360" w:left="4320"/>
        <w:tabs>
          <w:tab w:val="left" w:pos="4320" w:leader="none"/>
        </w:tabs>
      </w:pPr>
      <w:rPr>
        <w:rFonts w:ascii="Wingdings" w:hAnsi="Wingdings"/>
      </w:rPr>
    </w:lvl>
    <w:lvl w:ilvl="6" w:tplc="41D47500">
      <w:start w:val="1"/>
      <w:numFmt w:val="bullet"/>
      <w:suff w:val="tab"/>
      <w:lvlText w:val=""/>
      <w:lvlJc w:val="left"/>
      <w:pPr>
        <w:ind w:hanging="360" w:left="5040"/>
        <w:tabs>
          <w:tab w:val="left" w:pos="5040" w:leader="none"/>
        </w:tabs>
      </w:pPr>
      <w:rPr>
        <w:rFonts w:ascii="Symbol" w:hAnsi="Symbol"/>
      </w:rPr>
    </w:lvl>
    <w:lvl w:ilvl="7" w:tplc="5CA6118C">
      <w:start w:val="1"/>
      <w:numFmt w:val="bullet"/>
      <w:suff w:val="tab"/>
      <w:lvlText w:val="o"/>
      <w:lvlJc w:val="left"/>
      <w:pPr>
        <w:ind w:hanging="360" w:left="5760"/>
        <w:tabs>
          <w:tab w:val="left" w:pos="5760" w:leader="none"/>
        </w:tabs>
      </w:pPr>
      <w:rPr>
        <w:rFonts w:ascii="Courier New" w:hAnsi="Courier New"/>
      </w:rPr>
    </w:lvl>
    <w:lvl w:ilvl="8" w:tplc="77AFD141">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248C2EF9">
      <w:start w:val="1"/>
      <w:numFmt w:val="bullet"/>
      <w:suff w:val="tab"/>
      <w:lvlText w:val="o"/>
      <w:lvlJc w:val="left"/>
      <w:pPr>
        <w:ind w:hanging="360" w:left="2268"/>
        <w:tabs>
          <w:tab w:val="left" w:pos="2268" w:leader="none"/>
        </w:tabs>
      </w:pPr>
      <w:rPr>
        <w:rFonts w:ascii="Courier New" w:hAnsi="Courier New"/>
      </w:rPr>
    </w:lvl>
    <w:lvl w:ilvl="2" w:tplc="3E61B0BB">
      <w:start w:val="1"/>
      <w:numFmt w:val="bullet"/>
      <w:suff w:val="tab"/>
      <w:lvlText w:val=""/>
      <w:lvlJc w:val="left"/>
      <w:pPr>
        <w:ind w:hanging="360" w:left="2988"/>
        <w:tabs>
          <w:tab w:val="left" w:pos="2988" w:leader="none"/>
        </w:tabs>
      </w:pPr>
      <w:rPr>
        <w:rFonts w:ascii="Wingdings" w:hAnsi="Wingdings"/>
      </w:rPr>
    </w:lvl>
    <w:lvl w:ilvl="3" w:tplc="30EED73B">
      <w:start w:val="1"/>
      <w:numFmt w:val="bullet"/>
      <w:suff w:val="tab"/>
      <w:lvlText w:val=""/>
      <w:lvlJc w:val="left"/>
      <w:pPr>
        <w:ind w:hanging="360" w:left="3708"/>
        <w:tabs>
          <w:tab w:val="left" w:pos="3708" w:leader="none"/>
        </w:tabs>
      </w:pPr>
      <w:rPr>
        <w:rFonts w:ascii="Symbol" w:hAnsi="Symbol"/>
      </w:rPr>
    </w:lvl>
    <w:lvl w:ilvl="4" w:tplc="61179D27">
      <w:start w:val="1"/>
      <w:numFmt w:val="bullet"/>
      <w:suff w:val="tab"/>
      <w:lvlText w:val="o"/>
      <w:lvlJc w:val="left"/>
      <w:pPr>
        <w:ind w:hanging="360" w:left="4428"/>
        <w:tabs>
          <w:tab w:val="left" w:pos="4428" w:leader="none"/>
        </w:tabs>
      </w:pPr>
      <w:rPr>
        <w:rFonts w:ascii="Courier New" w:hAnsi="Courier New"/>
      </w:rPr>
    </w:lvl>
    <w:lvl w:ilvl="5" w:tplc="263BFECA">
      <w:start w:val="1"/>
      <w:numFmt w:val="bullet"/>
      <w:suff w:val="tab"/>
      <w:lvlText w:val=""/>
      <w:lvlJc w:val="left"/>
      <w:pPr>
        <w:ind w:hanging="360" w:left="5148"/>
        <w:tabs>
          <w:tab w:val="left" w:pos="5148" w:leader="none"/>
        </w:tabs>
      </w:pPr>
      <w:rPr>
        <w:rFonts w:ascii="Wingdings" w:hAnsi="Wingdings"/>
      </w:rPr>
    </w:lvl>
    <w:lvl w:ilvl="6" w:tplc="152C1BBA">
      <w:start w:val="1"/>
      <w:numFmt w:val="bullet"/>
      <w:suff w:val="tab"/>
      <w:lvlText w:val=""/>
      <w:lvlJc w:val="left"/>
      <w:pPr>
        <w:ind w:hanging="360" w:left="5868"/>
        <w:tabs>
          <w:tab w:val="left" w:pos="5868" w:leader="none"/>
        </w:tabs>
      </w:pPr>
      <w:rPr>
        <w:rFonts w:ascii="Symbol" w:hAnsi="Symbol"/>
      </w:rPr>
    </w:lvl>
    <w:lvl w:ilvl="7" w:tplc="33A0EA4C">
      <w:start w:val="1"/>
      <w:numFmt w:val="bullet"/>
      <w:suff w:val="tab"/>
      <w:lvlText w:val="o"/>
      <w:lvlJc w:val="left"/>
      <w:pPr>
        <w:ind w:hanging="360" w:left="6588"/>
        <w:tabs>
          <w:tab w:val="left" w:pos="6588" w:leader="none"/>
        </w:tabs>
      </w:pPr>
      <w:rPr>
        <w:rFonts w:ascii="Courier New" w:hAnsi="Courier New"/>
      </w:rPr>
    </w:lvl>
    <w:lvl w:ilvl="8" w:tplc="5452418E">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num>
  <w:num w:numId="5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3"/>
      </w:numPr>
      <w:tabs>
        <w:tab w:val="left" w:pos="1080" w:leader="none"/>
        <w:tab w:val="left" w:pos="4320" w:leader="none"/>
      </w:tabs>
      <w:spacing w:lineRule="atLeast" w:line="320" w:before="120" w:after="120"/>
    </w:pPr>
    <w:rPr/>
  </w:style>
  <w:style w:type="paragraph" w:styleId="P26">
    <w:name w:val="Style2"/>
    <w:basedOn w:val="P0"/>
    <w:next w:val="P26"/>
    <w:pPr>
      <w:numPr>
        <w:numId w:val="14"/>
      </w:numPr>
      <w:tabs>
        <w:tab w:val="left" w:pos="4320" w:leader="none"/>
        <w:tab w:val="left" w:pos="9471" w:leader="none"/>
      </w:tabs>
      <w:spacing w:lineRule="atLeast" w:line="320" w:before="120" w:after="120"/>
    </w:pPr>
    <w:rPr/>
  </w:style>
  <w:style w:type="paragraph" w:styleId="P27">
    <w:name w:val="Balloon Text"/>
    <w:basedOn w:val="P0"/>
    <w:next w:val="P27"/>
    <w:link w:val="C8"/>
    <w:pPr/>
    <w:rPr>
      <w:rFonts w:ascii="Tahoma" w:hAnsi="Tahoma"/>
      <w:sz w:val="16"/>
    </w:rPr>
  </w:style>
  <w:style w:type="paragraph" w:styleId="P28">
    <w:name w:val="Bullet"/>
    <w:basedOn w:val="P4"/>
    <w:next w:val="P4"/>
    <w:pPr/>
    <w:rPr/>
  </w:style>
  <w:style w:type="paragraph" w:styleId="P29">
    <w:name w:val="CSA"/>
    <w:basedOn w:val="P4"/>
    <w:next w:val="P35"/>
    <w:pPr>
      <w:keepNext w:val="1"/>
      <w:spacing w:after="0"/>
    </w:pPr>
    <w:rPr>
      <w:b w:val="1"/>
      <w:caps w:val="1"/>
      <w:sz w:val="20"/>
    </w:rPr>
  </w:style>
  <w:style w:type="paragraph" w:styleId="P30">
    <w:name w:val="Footnote Text"/>
    <w:basedOn w:val="P4"/>
    <w:next w:val="P30"/>
    <w:pPr>
      <w:spacing w:after="0"/>
    </w:pPr>
    <w:rPr>
      <w:rFonts w:ascii="Arial" w:hAnsi="Arial"/>
      <w:sz w:val="16"/>
    </w:rPr>
  </w:style>
  <w:style w:type="paragraph" w:styleId="P31">
    <w:name w:val="Number"/>
    <w:basedOn w:val="P4"/>
    <w:next w:val="P4"/>
    <w:pPr>
      <w:spacing w:after="0"/>
      <w:ind w:hanging="360" w:left="360"/>
    </w:pPr>
    <w:rPr/>
  </w:style>
  <w:style w:type="paragraph" w:styleId="P32">
    <w:name w:val="Tick"/>
    <w:basedOn w:val="P4"/>
    <w:next w:val="P4"/>
    <w:pPr>
      <w:spacing w:after="0"/>
      <w:ind w:hanging="360" w:left="720"/>
    </w:pPr>
    <w:rPr/>
  </w:style>
  <w:style w:type="paragraph" w:styleId="P33">
    <w:name w:val="TOC 1"/>
    <w:basedOn w:val="P4"/>
    <w:next w:val="P46"/>
    <w:pPr>
      <w:tabs>
        <w:tab w:val="right" w:pos="8640" w:leader="dot"/>
      </w:tabs>
      <w:spacing w:after="0"/>
    </w:pPr>
    <w:rPr>
      <w:b w:val="1"/>
    </w:rPr>
  </w:style>
  <w:style w:type="paragraph" w:styleId="P34">
    <w:name w:val="Comment Subject"/>
    <w:basedOn w:val="P5"/>
    <w:next w:val="P5"/>
    <w:pPr>
      <w:spacing w:before="0"/>
    </w:pPr>
    <w:rPr>
      <w:rFonts w:ascii="Book Antiqua" w:hAnsi="Book Antiqua"/>
      <w:b w:val="1"/>
      <w:sz w:val="20"/>
    </w:rPr>
  </w:style>
  <w:style w:type="paragraph" w:styleId="P35">
    <w:name w:val="Heading 1"/>
    <w:basedOn w:val="P7"/>
    <w:next w:val="P4"/>
    <w:qFormat/>
    <w:pPr>
      <w:keepNext w:val="1"/>
      <w:numPr>
        <w:numId w:val="3"/>
      </w:numPr>
      <w:tabs>
        <w:tab w:val="left" w:pos="720" w:leader="none"/>
      </w:tabs>
      <w:spacing w:before="160"/>
      <w:outlineLvl w:val="0"/>
    </w:pPr>
    <w:rPr>
      <w:rFonts w:ascii="Calibri" w:hAnsi="Calibri"/>
      <w:b w:val="0"/>
      <w:caps w:val="1"/>
      <w:u w:val="single"/>
    </w:rPr>
  </w:style>
  <w:style w:type="paragraph" w:styleId="P36">
    <w:name w:val="Heading 2"/>
    <w:basedOn w:val="P7"/>
    <w:next w:val="P4"/>
    <w:qFormat/>
    <w:pPr>
      <w:keepNext w:val="1"/>
      <w:keepLines w:val="1"/>
      <w:numPr>
        <w:ilvl w:val="1"/>
        <w:numId w:val="3"/>
      </w:numPr>
      <w:spacing w:before="80"/>
      <w:outlineLvl w:val="1"/>
    </w:pPr>
    <w:rPr>
      <w:rFonts w:ascii="Calibri" w:hAnsi="Calibri"/>
      <w:b w:val="0"/>
      <w:u w:val="single"/>
    </w:rPr>
  </w:style>
  <w:style w:type="paragraph" w:styleId="P37">
    <w:name w:val="Heading 3"/>
    <w:basedOn w:val="P7"/>
    <w:next w:val="P37"/>
    <w:link w:val="C7"/>
    <w:qFormat/>
    <w:pPr>
      <w:numPr>
        <w:ilvl w:val="2"/>
        <w:numId w:val="3"/>
      </w:numPr>
      <w:tabs>
        <w:tab w:val="clear" w:pos="720" w:leader="none"/>
        <w:tab w:val="left" w:pos="1440" w:leader="none"/>
      </w:tabs>
      <w:spacing w:before="80"/>
      <w:ind w:hanging="720" w:left="1440"/>
      <w:outlineLvl w:val="2"/>
    </w:pPr>
    <w:rPr>
      <w:rFonts w:ascii="Calibri" w:hAnsi="Calibri"/>
      <w:b w:val="0"/>
    </w:rPr>
  </w:style>
  <w:style w:type="paragraph" w:styleId="P38">
    <w:name w:val="Heading 4"/>
    <w:basedOn w:val="P7"/>
    <w:next w:val="P38"/>
    <w:qFormat/>
    <w:pPr>
      <w:numPr>
        <w:ilvl w:val="3"/>
        <w:numId w:val="3"/>
      </w:numPr>
      <w:tabs>
        <w:tab w:val="left" w:pos="5040" w:leader="none"/>
      </w:tabs>
      <w:outlineLvl w:val="3"/>
    </w:pPr>
    <w:rPr>
      <w:rFonts w:ascii="Arial" w:hAnsi="Arial"/>
      <w:b w:val="0"/>
    </w:rPr>
  </w:style>
  <w:style w:type="paragraph" w:styleId="P39">
    <w:name w:val="Heading 5"/>
    <w:basedOn w:val="P7"/>
    <w:next w:val="P39"/>
    <w:qFormat/>
    <w:pPr>
      <w:numPr>
        <w:ilvl w:val="4"/>
        <w:numId w:val="3"/>
      </w:numPr>
      <w:tabs>
        <w:tab w:val="left" w:pos="5760" w:leader="none"/>
      </w:tabs>
      <w:outlineLvl w:val="4"/>
    </w:pPr>
    <w:rPr>
      <w:rFonts w:ascii="Arial" w:hAnsi="Arial"/>
      <w:b w:val="0"/>
    </w:rPr>
  </w:style>
  <w:style w:type="paragraph" w:styleId="P40">
    <w:name w:val="Heading 6"/>
    <w:basedOn w:val="P7"/>
    <w:next w:val="P4"/>
    <w:qFormat/>
    <w:pPr>
      <w:numPr>
        <w:ilvl w:val="5"/>
        <w:numId w:val="3"/>
      </w:numPr>
      <w:tabs>
        <w:tab w:val="left" w:pos="6480" w:leader="none"/>
      </w:tabs>
      <w:outlineLvl w:val="5"/>
    </w:pPr>
    <w:rPr>
      <w:rFonts w:ascii="Arial" w:hAnsi="Arial"/>
      <w:b w:val="0"/>
    </w:rPr>
  </w:style>
  <w:style w:type="paragraph" w:styleId="P41">
    <w:name w:val="Caption"/>
    <w:basedOn w:val="P7"/>
    <w:next w:val="P0"/>
    <w:qFormat/>
    <w:pPr>
      <w:keepNext w:val="1"/>
      <w:spacing w:after="240"/>
    </w:pPr>
    <w:rPr>
      <w:b w:val="0"/>
      <w:i w:val="1"/>
      <w:sz w:val="20"/>
    </w:rPr>
  </w:style>
  <w:style w:type="paragraph" w:styleId="P42">
    <w:name w:val="Exhibit--Number"/>
    <w:basedOn w:val="P7"/>
    <w:next w:val="P48"/>
    <w:pPr>
      <w:spacing w:before="160"/>
    </w:pPr>
    <w:rPr>
      <w:caps w:val="1"/>
      <w:sz w:val="18"/>
    </w:rPr>
  </w:style>
  <w:style w:type="paragraph" w:styleId="P43">
    <w:name w:val="Title"/>
    <w:basedOn w:val="P7"/>
    <w:next w:val="P43"/>
    <w:qFormat/>
    <w:pPr>
      <w:keepNext w:val="1"/>
      <w:spacing w:before="160" w:after="30"/>
    </w:pPr>
    <w:rPr>
      <w:sz w:val="20"/>
    </w:rPr>
  </w:style>
  <w:style w:type="paragraph" w:styleId="P44">
    <w:name w:val="Table Body"/>
    <w:basedOn w:val="P12"/>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4"/>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4"/>
    <w:pPr/>
    <w:rPr>
      <w:i w:val="1"/>
    </w:rPr>
  </w:style>
  <w:style w:type="paragraph" w:styleId="P52">
    <w:name w:val="TOC 4"/>
    <w:basedOn w:val="P50"/>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7"/>
    <w:rPr>
      <w:rFonts w:ascii="Calibri" w:hAnsi="Calibri"/>
      <w:b w:val="0"/>
    </w:rPr>
  </w:style>
  <w:style w:type="character" w:styleId="C8">
    <w:name w:val="Balloon Text Char"/>
    <w:link w:val="P27"/>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2015-04-17T13:45:00Z</dcterms:created>
  <cp:lastModifiedBy>Ray</cp:lastModifiedBy>
  <cp:lastPrinted>2006-08-30T12:57:00Z</cp:lastPrinted>
  <dcterms:modified xsi:type="dcterms:W3CDTF">2022-10-04T19:38:53Z</dcterms:modified>
  <cp:revision>9</cp:revision>
  <dc:title>13170 Sludge Blanket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120600.000000000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