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67A0423" Type="http://schemas.openxmlformats.org/officeDocument/2006/relationships/officeDocument" Target="word/document.xml"/><Relationship Id="coreR667A0423" Type="http://schemas.openxmlformats.org/package/2006/relationships/metadata/core-properties" Target="docProps/core.xml"/><Relationship Id="customR667A042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2"/>
              <w:rPr>
                <w:rFonts w:ascii="Calibri" w:hAnsi="Calibri"/>
                <w:sz w:val="22"/>
              </w:rPr>
            </w:pPr>
            <w:r>
              <w:rPr>
                <w:rFonts w:ascii="Calibri" w:hAnsi="Calibri"/>
                <w:sz w:val="22"/>
              </w:rPr>
              <w:t>Version</w:t>
            </w:r>
          </w:p>
        </w:tc>
        <w:tc>
          <w:tcPr>
            <w:tcW w:w="1980" w:type="dxa"/>
          </w:tcPr>
          <w:p>
            <w:pPr>
              <w:pStyle w:val="P22"/>
              <w:rPr>
                <w:rFonts w:ascii="Calibri" w:hAnsi="Calibri"/>
                <w:sz w:val="22"/>
              </w:rPr>
            </w:pPr>
            <w:r>
              <w:rPr>
                <w:rFonts w:ascii="Calibri" w:hAnsi="Calibri"/>
                <w:sz w:val="22"/>
              </w:rPr>
              <w:t>Date</w:t>
            </w:r>
          </w:p>
        </w:tc>
        <w:tc>
          <w:tcPr>
            <w:tcW w:w="5863" w:type="dxa"/>
          </w:tcPr>
          <w:p>
            <w:pPr>
              <w:pStyle w:val="P22"/>
              <w:rPr>
                <w:rFonts w:ascii="Calibri" w:hAnsi="Calibri"/>
                <w:sz w:val="22"/>
              </w:rPr>
            </w:pPr>
            <w:r>
              <w:rPr>
                <w:rFonts w:ascii="Calibri" w:hAnsi="Calibri"/>
                <w:sz w:val="22"/>
              </w:rPr>
              <w:t>Description of Revisions</w:t>
            </w:r>
          </w:p>
        </w:tc>
      </w:tr>
      <w:tr>
        <w:trPr>
          <w:wAfter w:w="0" w:type="dxa"/>
        </w:trPr>
        <w:tc>
          <w:tcPr>
            <w:tcW w:w="1004" w:type="dxa"/>
          </w:tcPr>
          <w:p>
            <w:pPr>
              <w:pStyle w:val="P21"/>
              <w:rPr>
                <w:rFonts w:ascii="Calibri" w:hAnsi="Calibri"/>
                <w:sz w:val="22"/>
              </w:rPr>
            </w:pPr>
            <w:r>
              <w:rPr>
                <w:rFonts w:ascii="Calibri" w:hAnsi="Calibri"/>
                <w:sz w:val="22"/>
              </w:rPr>
              <w:t>1</w:t>
            </w:r>
          </w:p>
        </w:tc>
        <w:tc>
          <w:tcPr>
            <w:tcW w:w="1980" w:type="dxa"/>
          </w:tcPr>
          <w:p>
            <w:pPr>
              <w:pStyle w:val="P21"/>
              <w:rPr>
                <w:rFonts w:ascii="Calibri" w:hAnsi="Calibri"/>
                <w:sz w:val="22"/>
              </w:rPr>
            </w:pPr>
            <w:r>
              <w:rPr>
                <w:rFonts w:ascii="Calibri" w:hAnsi="Calibri"/>
                <w:sz w:val="22"/>
              </w:rPr>
              <w:t>November 1, 2011</w:t>
            </w:r>
          </w:p>
        </w:tc>
        <w:tc>
          <w:tcPr>
            <w:tcW w:w="5863" w:type="dxa"/>
          </w:tcPr>
          <w:p>
            <w:pPr>
              <w:pStyle w:val="P21"/>
              <w:rPr>
                <w:rFonts w:ascii="Calibri" w:hAnsi="Calibri"/>
                <w:sz w:val="22"/>
              </w:rPr>
            </w:pPr>
            <w:r>
              <w:rPr>
                <w:rFonts w:ascii="Calibri" w:hAnsi="Calibri"/>
                <w:sz w:val="22"/>
              </w:rPr>
              <w:t>Standard Specification Release</w:t>
            </w:r>
          </w:p>
        </w:tc>
      </w:tr>
      <w:tr>
        <w:trPr>
          <w:wAfter w:w="0" w:type="dxa"/>
        </w:trPr>
        <w:tc>
          <w:tcPr>
            <w:tcW w:w="1004" w:type="dxa"/>
          </w:tcPr>
          <w:p>
            <w:pPr>
              <w:pStyle w:val="P21"/>
              <w:rPr>
                <w:rFonts w:ascii="Calibri" w:hAnsi="Calibri"/>
                <w:sz w:val="22"/>
              </w:rPr>
            </w:pPr>
            <w:r>
              <w:rPr>
                <w:rFonts w:ascii="Calibri" w:hAnsi="Calibri"/>
                <w:sz w:val="22"/>
              </w:rPr>
              <w:t>2</w:t>
            </w:r>
          </w:p>
        </w:tc>
        <w:tc>
          <w:tcPr>
            <w:tcW w:w="1980" w:type="dxa"/>
          </w:tcPr>
          <w:p>
            <w:pPr>
              <w:pStyle w:val="P21"/>
              <w:rPr>
                <w:rFonts w:ascii="Calibri" w:hAnsi="Calibri"/>
                <w:sz w:val="22"/>
              </w:rPr>
            </w:pPr>
            <w:r>
              <w:rPr>
                <w:rFonts w:ascii="Calibri" w:hAnsi="Calibri"/>
                <w:sz w:val="22"/>
              </w:rPr>
              <w:t>April 17, 2015</w:t>
            </w:r>
          </w:p>
        </w:tc>
        <w:tc>
          <w:tcPr>
            <w:tcW w:w="5863" w:type="dxa"/>
          </w:tcPr>
          <w:p>
            <w:pPr>
              <w:pStyle w:val="P21"/>
              <w:rPr>
                <w:rFonts w:ascii="Calibri" w:hAnsi="Calibri"/>
                <w:sz w:val="22"/>
              </w:rPr>
            </w:pPr>
            <w:r>
              <w:rPr>
                <w:rFonts w:ascii="Calibri" w:hAnsi="Calibri"/>
                <w:sz w:val="22"/>
              </w:rPr>
              <w:t>General Formatting</w:t>
            </w:r>
          </w:p>
        </w:tc>
      </w:tr>
      <w:tr>
        <w:trPr>
          <w:wAfter w:w="0" w:type="dxa"/>
        </w:trPr>
        <w:tc>
          <w:tcPr>
            <w:tcW w:w="1004" w:type="dxa"/>
          </w:tcPr>
          <w:p>
            <w:pPr>
              <w:pStyle w:val="P21"/>
              <w:rPr>
                <w:rFonts w:ascii="Calibri" w:hAnsi="Calibri"/>
                <w:sz w:val="22"/>
              </w:rPr>
            </w:pPr>
            <w:r>
              <w:rPr>
                <w:rFonts w:ascii="Calibri" w:hAnsi="Calibri"/>
                <w:sz w:val="22"/>
              </w:rPr>
              <w:t>3</w:t>
            </w:r>
          </w:p>
        </w:tc>
        <w:tc>
          <w:tcPr>
            <w:tcW w:w="1980" w:type="dxa"/>
          </w:tcPr>
          <w:p>
            <w:pPr>
              <w:pStyle w:val="P21"/>
              <w:rPr>
                <w:rFonts w:ascii="Calibri" w:hAnsi="Calibri"/>
                <w:sz w:val="22"/>
              </w:rPr>
            </w:pPr>
            <w:r>
              <w:rPr>
                <w:rFonts w:ascii="Calibri" w:hAnsi="Calibri"/>
                <w:sz w:val="22"/>
              </w:rPr>
              <w:t>May 11, 2021</w:t>
            </w:r>
          </w:p>
        </w:tc>
        <w:tc>
          <w:tcPr>
            <w:tcW w:w="5863" w:type="dxa"/>
          </w:tcPr>
          <w:p>
            <w:pPr>
              <w:pStyle w:val="P21"/>
              <w:rPr>
                <w:rFonts w:ascii="Calibri" w:hAnsi="Calibri"/>
                <w:sz w:val="22"/>
              </w:rPr>
            </w:pPr>
            <w:r>
              <w:rPr>
                <w:rFonts w:ascii="Calibri" w:hAnsi="Calibri"/>
                <w:sz w:val="22"/>
              </w:rPr>
              <w:t>Revisions throughout to reflect obsolescence of Hach 1720E turbidimeter and replacement with TU5 series (BM)</w:t>
            </w:r>
          </w:p>
        </w:tc>
      </w:tr>
      <w:tr>
        <w:trPr>
          <w:wAfter w:w="0" w:type="dxa"/>
        </w:trPr>
        <w:tc>
          <w:tcPr>
            <w:tcW w:w="1004" w:type="dxa"/>
          </w:tcPr>
          <w:p>
            <w:pPr>
              <w:pStyle w:val="P21"/>
              <w:rPr>
                <w:rFonts w:ascii="Calibri" w:hAnsi="Calibri"/>
                <w:sz w:val="22"/>
              </w:rPr>
            </w:pPr>
            <w:r>
              <w:rPr>
                <w:rFonts w:ascii="Calibri" w:hAnsi="Calibri"/>
                <w:sz w:val="22"/>
              </w:rPr>
              <w:t>4</w:t>
            </w:r>
          </w:p>
        </w:tc>
        <w:tc>
          <w:tcPr>
            <w:tcW w:w="1980" w:type="dxa"/>
          </w:tcPr>
          <w:p>
            <w:pPr>
              <w:pStyle w:val="P21"/>
              <w:rPr>
                <w:rFonts w:ascii="Calibri" w:hAnsi="Calibri"/>
                <w:sz w:val="22"/>
              </w:rPr>
            </w:pPr>
            <w:r>
              <w:rPr>
                <w:rFonts w:ascii="Calibri" w:hAnsi="Calibri"/>
                <w:sz w:val="22"/>
              </w:rPr>
              <w:t>June 13, 2022</w:t>
            </w:r>
          </w:p>
        </w:tc>
        <w:tc>
          <w:tcPr>
            <w:tcW w:w="5863" w:type="dxa"/>
          </w:tcPr>
          <w:p>
            <w:pPr>
              <w:pStyle w:val="P21"/>
              <w:rPr>
                <w:rFonts w:ascii="Calibri" w:hAnsi="Calibri"/>
                <w:sz w:val="22"/>
              </w:rPr>
            </w:pPr>
            <w:r>
              <w:rPr>
                <w:rFonts w:ascii="Calibri" w:hAnsi="Calibri"/>
                <w:sz w:val="22"/>
              </w:rPr>
              <w:t>2.2 Tagging requirement revised (BM)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For each project the consulting engine</w:t>
      </w:r>
      <w:r>
        <w:rPr>
          <w:rFonts w:ascii="Calibri" w:hAnsi="Calibri"/>
          <w:b w:val="1"/>
          <w:highlight w:val="yellow"/>
        </w:rPr>
        <w:t>er is responsible for the correct application of t</w:t>
      </w:r>
      <w:r>
        <w:rPr>
          <w:rFonts w:ascii="Calibri" w:hAnsi="Calibri"/>
          <w:b w:val="1"/>
          <w:highlight w:val="yellow"/>
        </w:rPr>
        <w:t>he specifications and for updating and modifying all highlighted items, as well as updating and modifying those sections</w:t>
      </w:r>
      <w:r>
        <w:rPr>
          <w:rFonts w:ascii="Calibri" w:hAnsi="Calibri"/>
          <w:b w:val="1"/>
          <w:highlight w:val="yellow"/>
        </w:rPr>
        <w:t xml:space="preserve"> that</w:t>
      </w:r>
      <w:r>
        <w:rPr>
          <w:rFonts w:ascii="Calibri" w:hAnsi="Calibri"/>
          <w:b w:val="1"/>
          <w:highlight w:val="yellow"/>
        </w:rPr>
        <w:t xml:space="preserve"> are directly applicable to the project.  All updates and modifications to this s</w:t>
      </w:r>
      <w:r>
        <w:rPr>
          <w:rFonts w:ascii="Calibri" w:hAnsi="Calibri"/>
          <w:b w:val="1"/>
          <w:highlight w:val="yellow"/>
        </w:rPr>
        <w:t>tandard document are to be highlighted to the Regi</w:t>
      </w:r>
      <w:r>
        <w:rPr>
          <w:rFonts w:ascii="Calibri" w:hAnsi="Calibri"/>
          <w:b w:val="1"/>
          <w:highlight w:val="yellow"/>
        </w:rPr>
        <w:t>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w:t>
      </w:r>
      <w:r>
        <w:rPr>
          <w:rFonts w:ascii="Calibri" w:hAnsi="Calibri"/>
          <w:b w:val="1"/>
        </w:rPr>
        <w:t>he on</w:t>
      </w:r>
      <w:r>
        <w:rPr>
          <w:rFonts w:ascii="Calibri" w:hAnsi="Calibri"/>
          <w:b w:val="1"/>
        </w:rPr>
        <w:t>-line copy is the current version of the document.</w:t>
      </w:r>
    </w:p>
    <w:p>
      <w:pPr>
        <w:pStyle w:val="P35"/>
      </w:pPr>
      <w:r>
        <w:br w:type="page"/>
        <w:t>GENERAL</w:t>
      </w:r>
    </w:p>
    <w:p>
      <w:pPr>
        <w:pStyle w:val="P36"/>
      </w:pPr>
      <w:r>
        <w:t>General</w:t>
      </w:r>
    </w:p>
    <w:p>
      <w:pPr>
        <w:pStyle w:val="P37"/>
      </w:pPr>
      <w:bookmarkStart w:id="0" w:name="_Toc16565140"/>
      <w:r>
        <w:t xml:space="preserve">This Section includes additional requirements to those set forth in Section 13105 – Process Control: General Instrumentation Requirements.  Where a conflict exists between requirements, the Contractor shall adhere to the more stringent requirement.</w:t>
      </w:r>
    </w:p>
    <w:p>
      <w:pPr>
        <w:pStyle w:val="P37"/>
      </w:pPr>
      <w:r>
        <w:t>The Contractor shall clearly identify on the shop drawings any deviation from the Specification Section.</w:t>
      </w:r>
    </w:p>
    <w:p>
      <w:pPr>
        <w:pStyle w:val="P37"/>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pPr>
      <w:r>
        <w:t>The Contractor shall provide two copies of the manufacturer’s warranties.</w:t>
      </w:r>
    </w:p>
    <w:p>
      <w:pPr>
        <w:pStyle w:val="P37"/>
      </w:pPr>
      <w:r>
        <w:t>The Contractor shall provide, through the instrumentation supplier, turbidity analyzers, complete and operable in accordance with the Contract Documents.</w:t>
      </w:r>
    </w:p>
    <w:p>
      <w:pPr>
        <w:pStyle w:val="P36"/>
        <w:tabs>
          <w:tab w:val="left" w:pos="576" w:leader="none"/>
          <w:tab w:val="left" w:pos="720" w:leader="none"/>
        </w:tabs>
        <w:ind w:hanging="576" w:left="576"/>
      </w:pPr>
      <w:r>
        <w:t>Related Sections</w:t>
      </w:r>
    </w:p>
    <w:p>
      <w:pPr>
        <w:pStyle w:val="P37"/>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yellow"/>
        </w:rPr>
      </w:pPr>
    </w:p>
    <w:p>
      <w:pPr>
        <w:pStyle w:val="P37"/>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lightGray"/>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r>
        <w:rPr>
          <w:highlight w:val="yellow"/>
        </w:rPr>
        <w:t>[List Sections specifying related requirements.]</w:t>
      </w:r>
    </w:p>
    <w:p>
      <w:pPr>
        <w:pStyle w:val="P37"/>
        <w:tabs>
          <w:tab w:val="left" w:pos="1440" w:leader="none"/>
          <w:tab w:val="left" w:pos="1800" w:leader="none"/>
        </w:tabs>
      </w:pPr>
      <w:r>
        <w:t>Sections:</w:t>
      </w:r>
    </w:p>
    <w:p>
      <w:pPr>
        <w:pStyle w:val="P38"/>
        <w:tabs>
          <w:tab w:val="left" w:pos="2160" w:leader="none"/>
        </w:tabs>
      </w:pPr>
      <w:r>
        <w:t>Section 01425 – Computerized Maintenance Management System Data Requirements</w:t>
      </w:r>
    </w:p>
    <w:p>
      <w:pPr>
        <w:pStyle w:val="P38"/>
        <w:tabs>
          <w:tab w:val="left" w:pos="2160" w:leader="none"/>
        </w:tabs>
      </w:pPr>
      <w:r>
        <w:t>Section 01430 – Operation and Maintenance Data</w:t>
      </w:r>
    </w:p>
    <w:p>
      <w:pPr>
        <w:pStyle w:val="P38"/>
        <w:tabs>
          <w:tab w:val="left" w:pos="2160" w:leader="none"/>
        </w:tabs>
      </w:pPr>
      <w:r>
        <w:t>Section 01600 – Material and Equipment</w:t>
      </w:r>
    </w:p>
    <w:p>
      <w:pPr>
        <w:pStyle w:val="P38"/>
        <w:tabs>
          <w:tab w:val="left" w:pos="2160" w:leader="none"/>
        </w:tabs>
      </w:pPr>
      <w:r>
        <w:t xml:space="preserve">Section 01740 – Cleaning </w:t>
      </w:r>
    </w:p>
    <w:p>
      <w:pPr>
        <w:pStyle w:val="P38"/>
        <w:tabs>
          <w:tab w:val="left" w:pos="2160" w:leader="none"/>
        </w:tabs>
      </w:pPr>
      <w:r>
        <w:t>Section 01810 – Equipment Testing and Facility Commissioning</w:t>
      </w:r>
    </w:p>
    <w:p>
      <w:pPr>
        <w:pStyle w:val="P38"/>
        <w:tabs>
          <w:tab w:val="left" w:pos="2160" w:leader="none"/>
        </w:tabs>
      </w:pPr>
      <w:r>
        <w:t>Section 01820 – Demonstration and Training</w:t>
      </w:r>
    </w:p>
    <w:p>
      <w:pPr>
        <w:pStyle w:val="P38"/>
        <w:tabs>
          <w:tab w:val="left" w:pos="2160" w:leader="none"/>
        </w:tabs>
        <w:rPr>
          <w:highlight w:val="yellow"/>
        </w:rPr>
      </w:pPr>
      <w:r>
        <w:rPr>
          <w:highlight w:val="yellow"/>
        </w:rPr>
        <w:t>Division 01 – General Requirements (insert applicable specifications)</w:t>
      </w:r>
    </w:p>
    <w:p>
      <w:pPr>
        <w:pStyle w:val="P38"/>
        <w:tabs>
          <w:tab w:val="left" w:pos="2160" w:leader="none"/>
        </w:tabs>
        <w:rPr>
          <w:highlight w:val="yellow"/>
        </w:rPr>
      </w:pPr>
      <w:r>
        <w:rPr>
          <w:highlight w:val="yellow"/>
        </w:rPr>
        <w:t>Division 11 – Equipment (insert applicable specifications)</w:t>
      </w:r>
    </w:p>
    <w:p>
      <w:pPr>
        <w:pStyle w:val="P38"/>
        <w:rPr>
          <w:highlight w:val="yellow"/>
        </w:rPr>
      </w:pPr>
      <w:r>
        <w:rPr>
          <w:highlight w:val="yellow"/>
        </w:rPr>
        <w:t>Division 15 – Mechanical (insert applicable specifications)</w:t>
      </w:r>
    </w:p>
    <w:p>
      <w:pPr>
        <w:pStyle w:val="P38"/>
        <w:tabs>
          <w:tab w:val="left" w:pos="2160" w:leader="none"/>
        </w:tabs>
        <w:rPr>
          <w:highlight w:val="yellow"/>
        </w:rPr>
      </w:pPr>
      <w:r>
        <w:rPr>
          <w:highlight w:val="yellow"/>
        </w:rPr>
        <w:t>Division 13 – SCADA and Instrumentation (insert applicable specifications)</w:t>
      </w:r>
    </w:p>
    <w:p>
      <w:pPr>
        <w:pStyle w:val="P38"/>
        <w:tabs>
          <w:tab w:val="left" w:pos="2160" w:leader="none"/>
        </w:tabs>
      </w:pPr>
      <w:r>
        <w:t xml:space="preserve">Product requirements for </w:t>
      </w:r>
      <w:r>
        <w:rPr>
          <w:highlight w:val="yellow"/>
        </w:rPr>
        <w:t>[item]...</w:t>
      </w:r>
      <w:r>
        <w:t xml:space="preserve">  for installation under this Section.</w:t>
      </w:r>
    </w:p>
    <w:p>
      <w:pPr>
        <w:pStyle w:val="P36"/>
        <w:tabs>
          <w:tab w:val="left" w:pos="576" w:leader="none"/>
        </w:tabs>
        <w:ind w:hanging="576" w:left="576"/>
      </w:pPr>
      <w:r>
        <w:t>Submittals</w:t>
      </w:r>
    </w:p>
    <w:p>
      <w:pPr>
        <w:pStyle w:val="P37"/>
        <w:tabs>
          <w:tab w:val="left" w:pos="720" w:leader="none"/>
        </w:tabs>
        <w:ind w:hanging="432" w:left="1152"/>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tabs>
          <w:tab w:val="left" w:pos="720" w:leader="none"/>
        </w:tabs>
        <w:ind w:hanging="432" w:left="1152"/>
      </w:pPr>
      <w:r>
        <w:t>The Contractor shall furnish copies of the manufacturer’s warranties.</w:t>
      </w:r>
    </w:p>
    <w:p>
      <w:pPr>
        <w:pStyle w:val="P37"/>
        <w:tabs>
          <w:tab w:val="left" w:pos="720" w:leader="none"/>
        </w:tabs>
        <w:ind w:hanging="432" w:left="1152"/>
      </w:pPr>
      <w:r>
        <w:t>Comply with the detailed requirements for instrument submittal requirements in Section 13105 – General Instrumentation Requirements.</w:t>
      </w:r>
    </w:p>
    <w:p>
      <w:pPr>
        <w:pStyle w:val="P37"/>
        <w:tabs>
          <w:tab w:val="left" w:pos="720" w:leader="none"/>
        </w:tabs>
        <w:ind w:hanging="432" w:left="1152"/>
      </w:pPr>
      <w:r>
        <w:t xml:space="preserve">Comply with the requirements of Division 1.  </w:t>
      </w:r>
    </w:p>
    <w:p>
      <w:pPr>
        <w:pStyle w:val="P37"/>
        <w:tabs>
          <w:tab w:val="left" w:pos="720" w:leader="none"/>
        </w:tabs>
        <w:ind w:hanging="432" w:left="1152"/>
      </w:pPr>
      <w:r>
        <w:t>Submit working drawings for all equipment specified in Division 13 for review by the Consultant before ordering or fabrication.</w:t>
      </w:r>
    </w:p>
    <w:p>
      <w:pPr>
        <w:pStyle w:val="P37"/>
        <w:tabs>
          <w:tab w:val="left" w:pos="720" w:leader="none"/>
        </w:tabs>
        <w:ind w:hanging="432" w:left="1152"/>
      </w:pPr>
      <w:r>
        <w:t>Provide a complete listing of recommended spares for each type of supplied equipment.</w:t>
      </w:r>
    </w:p>
    <w:p>
      <w:pPr>
        <w:pStyle w:val="P37"/>
        <w:tabs>
          <w:tab w:val="left" w:pos="720" w:leader="none"/>
        </w:tabs>
        <w:ind w:hanging="432" w:left="1152"/>
      </w:pPr>
      <w:r>
        <w:t>Provide all necessary licenses, permits, approvals and certificates required in order to complete the work.</w:t>
      </w:r>
    </w:p>
    <w:p>
      <w:pPr>
        <w:pStyle w:val="P36"/>
      </w:pPr>
      <w:r>
        <w:t>Measurement and Payment</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w:t>
      </w:r>
      <w:r>
        <w:rPr>
          <w:rFonts w:ascii="Calibri" w:hAnsi="Calibri"/>
          <w:i w:val="1"/>
          <w:sz w:val="22"/>
          <w:highlight w:val="yellow"/>
        </w:rPr>
        <w:t>ua</w:t>
      </w:r>
      <w:r>
        <w:rPr>
          <w:rFonts w:ascii="Calibri" w:hAnsi="Calibri"/>
          <w:i w:val="1"/>
          <w:sz w:val="22"/>
          <w:highlight w:val="yellow"/>
        </w:rPr>
        <w:t>l project.</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w:t>
      </w:r>
      <w:r>
        <w:rPr>
          <w:rFonts w:ascii="Calibri" w:hAnsi="Calibri"/>
          <w:i w:val="1"/>
          <w:sz w:val="22"/>
          <w:highlight w:val="yellow"/>
        </w:rPr>
        <w:t>erenced by an item in the Bid Form, please use the following language:</w:t>
      </w:r>
    </w:p>
    <w:p>
      <w:pPr>
        <w:pStyle w:val="P27"/>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 xml:space="preserve">OR If this Section </w:t>
      </w:r>
      <w:r>
        <w:rPr>
          <w:rFonts w:ascii="Calibri" w:hAnsi="Calibri"/>
          <w:i w:val="1"/>
          <w:sz w:val="22"/>
          <w:highlight w:val="yellow"/>
        </w:rPr>
        <w:t>is specifically referenced in the Bid Form, use the following language and identif</w:t>
      </w:r>
      <w:r>
        <w:rPr>
          <w:rFonts w:ascii="Calibri" w:hAnsi="Calibri"/>
          <w:i w:val="1"/>
          <w:sz w:val="22"/>
          <w:highlight w:val="yellow"/>
        </w:rPr>
        <w:t>y the relevant item in the Bid Form:</w:t>
      </w:r>
    </w:p>
    <w:p>
      <w:pPr>
        <w:pStyle w:val="P27"/>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7"/>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 xml:space="preserve">If the work </w:t>
      </w:r>
      <w:r>
        <w:rPr>
          <w:rFonts w:ascii="Calibri" w:hAnsi="Calibri"/>
          <w:i w:val="1"/>
          <w:sz w:val="22"/>
          <w:highlight w:val="yellow"/>
        </w:rPr>
        <w:t>of this Section is to be measured and paid for by several different methods, pleas</w:t>
      </w:r>
      <w:r>
        <w:rPr>
          <w:rFonts w:ascii="Calibri" w:hAnsi="Calibri"/>
          <w:i w:val="1"/>
          <w:sz w:val="22"/>
          <w:highlight w:val="yellow"/>
        </w:rPr>
        <w:t>e amend the standard wording given above to reflect the different methods of measurement and payment.</w:t>
      </w:r>
      <w:r>
        <w:rPr>
          <w:rFonts w:ascii="Calibri" w:hAnsi="Calibri"/>
          <w:sz w:val="22"/>
          <w:highlight w:val="yellow"/>
        </w:rPr>
        <w:t>]</w:t>
      </w:r>
    </w:p>
    <w:p>
      <w:pPr>
        <w:pStyle w:val="P36"/>
      </w:pPr>
      <w:r>
        <w:t>Warranty</w:t>
      </w:r>
    </w:p>
    <w:p>
      <w:pPr>
        <w:pStyle w:val="P37"/>
        <w:tabs>
          <w:tab w:val="left" w:pos="720" w:leader="none"/>
        </w:tabs>
        <w:ind w:hanging="432" w:left="1152"/>
      </w:pPr>
      <w:r>
        <w:t xml:space="preserve">Refer to Division 1, the Articles of Agreement and the General Conditions for warranty details.  Where a conflict exists between these requirements and additional requirements within Division 13, the Contractor shall meet the more stringent requirement.</w:t>
      </w:r>
    </w:p>
    <w:p>
      <w:pPr>
        <w:pStyle w:val="P37"/>
        <w:tabs>
          <w:tab w:val="left" w:pos="720" w:leader="none"/>
        </w:tabs>
        <w:ind w:hanging="432" w:left="1152"/>
      </w:pPr>
      <w:r>
        <w:t>The warranty for products supplied under this section shall be by a local Canadian distributor in the Province of Ontario.</w:t>
      </w:r>
    </w:p>
    <w:p>
      <w:pPr>
        <w:pStyle w:val="P35"/>
      </w:pPr>
      <w:bookmarkEnd w:id="0"/>
      <w:bookmarkStart w:id="1" w:name="_Toc16565141"/>
      <w:r>
        <w:t>PRODUCTS</w:t>
      </w:r>
    </w:p>
    <w:p>
      <w:pPr>
        <w:pStyle w:val="P36"/>
      </w:pPr>
      <w:r>
        <w:t>Sensor</w:t>
      </w:r>
      <w:bookmarkEnd w:id="1"/>
    </w:p>
    <w:p>
      <w:pPr>
        <w:pStyle w:val="P37"/>
      </w:pPr>
      <w:r>
        <w:t>The low range online laser turbidimeter consists of a Class 1 650nm (EPA) or 850 nm (ISO) laser light source and 360° x 90° detection system with predictive diagnostics designed to continuously monitor turbidity in a sample stream.</w:t>
      </w:r>
    </w:p>
    <w:p>
      <w:pPr>
        <w:pStyle w:val="P37"/>
      </w:pPr>
      <w:r>
        <w:t>Continuous particle removal using a vortex created by the fluid path.</w:t>
      </w:r>
    </w:p>
    <w:p>
      <w:pPr>
        <w:pStyle w:val="P37"/>
      </w:pPr>
      <w:r>
        <w:t>Range: 0 to 10 NTU for turbidity units.</w:t>
      </w:r>
    </w:p>
    <w:p>
      <w:pPr>
        <w:pStyle w:val="P37"/>
      </w:pPr>
      <w:r>
        <w:t>Light Source: Class 2 laser product, with embedded 650 nm (EPA 0.43 mW) or Class 1 laser product, with embedded 850 nm (ISO), max. 0.55 mW (complies with IEC/EN 60825-1 and to 21 CFR 1040.10 in accordance with Laser Notice No. 50)</w:t>
      </w:r>
    </w:p>
    <w:p>
      <w:pPr>
        <w:pStyle w:val="P37"/>
      </w:pPr>
      <w:r>
        <w:t>Mounting: Vertical surface mounted</w:t>
      </w:r>
    </w:p>
    <w:p>
      <w:pPr>
        <w:pStyle w:val="P37"/>
      </w:pPr>
      <w:r>
        <w:t>Accuracy: ±2% or 0.01 NTU from 0 - 40 NTU</w:t>
      </w:r>
    </w:p>
    <w:p>
      <w:pPr>
        <w:pStyle w:val="P37"/>
      </w:pPr>
      <w:r>
        <w:t>Resolution: 0.0001 NTU / FNU / TE/F / FTU / EBC</w:t>
      </w:r>
    </w:p>
    <w:p>
      <w:pPr>
        <w:pStyle w:val="P37"/>
      </w:pPr>
      <w:r>
        <w:t>Repeatability: Better than 1% of reading or ±0.002 NTU</w:t>
      </w:r>
    </w:p>
    <w:p>
      <w:pPr>
        <w:pStyle w:val="P37"/>
      </w:pPr>
      <w:r>
        <w:t>Sampling line: 12 mm or larger corrosion resistant sampling line</w:t>
      </w:r>
    </w:p>
    <w:p>
      <w:pPr>
        <w:pStyle w:val="P36"/>
      </w:pPr>
      <w:bookmarkStart w:id="2" w:name="_Toc16565142"/>
      <w:r>
        <w:t>Transmitter</w:t>
      </w:r>
      <w:bookmarkEnd w:id="2"/>
    </w:p>
    <w:p>
      <w:pPr>
        <w:pStyle w:val="P37"/>
      </w:pPr>
      <w:r>
        <w:t>Front panel keypad for parameter selection and calibration data entry.</w:t>
      </w:r>
    </w:p>
    <w:p>
      <w:pPr>
        <w:pStyle w:val="P37"/>
      </w:pPr>
      <w:r>
        <w:t>Set-up and calibration from user programmable and/or predetermined choices accessible from menu prompts.</w:t>
      </w:r>
    </w:p>
    <w:p>
      <w:pPr>
        <w:pStyle w:val="P37"/>
      </w:pPr>
      <w:r>
        <w:t>Two alarms with adjustable set-points, isolated output SPDT contacts, 5 amp 120 VAC.</w:t>
      </w:r>
    </w:p>
    <w:p>
      <w:pPr>
        <w:pStyle w:val="P37"/>
      </w:pPr>
      <w:r>
        <w:t>NEMA 4X corrosive resistant housing and mounting hardware.</w:t>
      </w:r>
    </w:p>
    <w:p>
      <w:pPr>
        <w:pStyle w:val="P37"/>
      </w:pPr>
      <w:r>
        <w:t xml:space="preserve">Equipment tag wired to transmitter in accordance with </w:t>
      </w:r>
      <w:r>
        <w:rPr>
          <w:highlight w:val="yellow"/>
        </w:rPr>
        <w:t>Section 01080 – Process Equipment Location Tagging</w:t>
      </w:r>
      <w:r>
        <w:t>.</w:t>
      </w:r>
    </w:p>
    <w:p>
      <w:pPr>
        <w:pStyle w:val="P36"/>
      </w:pPr>
      <w:r>
        <w:t>Acceptable Manufacturers</w:t>
      </w:r>
    </w:p>
    <w:p>
      <w:pPr>
        <w:pStyle w:val="P37"/>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W w:w="8928" w:type="dxa"/>
        <w:tblInd w:w="116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88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2"/>
            </w:pPr>
            <w:r>
              <w:t xml:space="preserve">Preference </w:t>
            </w:r>
          </w:p>
        </w:tc>
        <w:tc>
          <w:tcPr>
            <w:tcW w:w="288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2"/>
            </w:pPr>
            <w:r>
              <w:t>Manufacturer</w:t>
            </w:r>
          </w:p>
        </w:tc>
        <w:tc>
          <w:tcPr>
            <w:tcW w:w="316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182"/>
            </w:pPr>
            <w:r>
              <w:t>Model</w:t>
            </w:r>
          </w:p>
        </w:tc>
      </w:tr>
      <w:tr>
        <w:trPr>
          <w:wAfter w:w="0" w:type="dxa"/>
        </w:trPr>
        <w:tc>
          <w:tcPr>
            <w:tcW w:w="2880" w:type="dxa"/>
            <w:tcBorders>
              <w:top w:val="single" w:sz="18" w:space="0" w:shadow="0" w:frame="0" w:color="000000"/>
            </w:tcBorders>
          </w:tcPr>
          <w:p>
            <w:pPr>
              <w:pStyle w:val="P38"/>
              <w:numPr>
                <w:ilvl w:val="3"/>
                <w:numId w:val="0"/>
              </w:numPr>
              <w:ind w:left="182"/>
            </w:pPr>
            <w:r>
              <w:t>1</w:t>
            </w:r>
          </w:p>
        </w:tc>
        <w:tc>
          <w:tcPr>
            <w:tcW w:w="2880" w:type="dxa"/>
            <w:tcBorders>
              <w:top w:val="single" w:sz="18" w:space="0" w:shadow="0" w:frame="0" w:color="000000"/>
            </w:tcBorders>
          </w:tcPr>
          <w:p>
            <w:pPr>
              <w:pStyle w:val="P38"/>
              <w:numPr>
                <w:ilvl w:val="3"/>
                <w:numId w:val="0"/>
              </w:numPr>
              <w:ind w:left="182"/>
            </w:pPr>
            <w:r>
              <w:t>Hach Company</w:t>
            </w:r>
          </w:p>
        </w:tc>
        <w:tc>
          <w:tcPr>
            <w:tcW w:w="3168" w:type="dxa"/>
            <w:tcBorders>
              <w:top w:val="single" w:sz="18" w:space="0" w:shadow="0" w:frame="0" w:color="000000"/>
            </w:tcBorders>
          </w:tcPr>
          <w:p>
            <w:pPr>
              <w:pStyle w:val="P38"/>
              <w:numPr>
                <w:ilvl w:val="3"/>
                <w:numId w:val="0"/>
              </w:numPr>
              <w:ind w:left="182"/>
            </w:pPr>
            <w:r>
              <w:t>TU5300 with sc200</w:t>
            </w:r>
          </w:p>
        </w:tc>
      </w:tr>
      <w:tr>
        <w:trPr>
          <w:wAfter w:w="0" w:type="dxa"/>
        </w:trPr>
        <w:tc>
          <w:tcPr>
            <w:tcW w:w="2880" w:type="dxa"/>
          </w:tcPr>
          <w:p>
            <w:pPr>
              <w:pStyle w:val="P38"/>
              <w:numPr>
                <w:ilvl w:val="3"/>
                <w:numId w:val="0"/>
              </w:numPr>
              <w:ind w:left="182"/>
            </w:pPr>
            <w:r>
              <w:t>2</w:t>
            </w:r>
          </w:p>
        </w:tc>
        <w:tc>
          <w:tcPr>
            <w:tcW w:w="2880" w:type="dxa"/>
          </w:tcPr>
          <w:p>
            <w:pPr>
              <w:pStyle w:val="P38"/>
              <w:numPr>
                <w:ilvl w:val="3"/>
                <w:numId w:val="0"/>
              </w:numPr>
              <w:ind w:left="182"/>
            </w:pPr>
            <w:r>
              <w:t>Or Equivalent</w:t>
            </w:r>
          </w:p>
        </w:tc>
        <w:tc>
          <w:tcPr>
            <w:tcW w:w="3168" w:type="dxa"/>
          </w:tcPr>
          <w:p>
            <w:pPr>
              <w:pStyle w:val="P38"/>
              <w:numPr>
                <w:ilvl w:val="3"/>
                <w:numId w:val="0"/>
              </w:numPr>
              <w:ind w:left="182"/>
            </w:pPr>
          </w:p>
        </w:tc>
      </w:tr>
      <w:tr>
        <w:trPr>
          <w:wAfter w:w="0" w:type="dxa"/>
        </w:trPr>
        <w:tc>
          <w:tcPr>
            <w:tcW w:w="2880" w:type="dxa"/>
          </w:tcPr>
          <w:p>
            <w:pPr>
              <w:pStyle w:val="P38"/>
              <w:numPr>
                <w:ilvl w:val="3"/>
                <w:numId w:val="0"/>
              </w:numPr>
              <w:ind w:left="182"/>
            </w:pPr>
            <w:r>
              <w:t>3</w:t>
            </w:r>
          </w:p>
        </w:tc>
        <w:tc>
          <w:tcPr>
            <w:tcW w:w="2880" w:type="dxa"/>
          </w:tcPr>
          <w:p>
            <w:pPr>
              <w:pStyle w:val="P38"/>
              <w:numPr>
                <w:ilvl w:val="3"/>
                <w:numId w:val="0"/>
              </w:numPr>
              <w:ind w:left="182"/>
            </w:pPr>
          </w:p>
        </w:tc>
        <w:tc>
          <w:tcPr>
            <w:tcW w:w="3168" w:type="dxa"/>
          </w:tcPr>
          <w:p>
            <w:pPr>
              <w:pStyle w:val="P38"/>
              <w:numPr>
                <w:ilvl w:val="3"/>
                <w:numId w:val="0"/>
              </w:numPr>
              <w:ind w:left="182"/>
            </w:pPr>
          </w:p>
        </w:tc>
      </w:tr>
    </w:tbl>
    <w:p>
      <w:pPr>
        <w:pStyle w:val="P37"/>
      </w:pPr>
      <w:r>
        <w:t>The Contractor is to select the appropriate options to suit the application and the requirements of the specification.</w:t>
      </w:r>
    </w:p>
    <w:p>
      <w:pPr>
        <w:pStyle w:val="P37"/>
      </w:pPr>
      <w:r>
        <w:t>Where other manufacturers are provided, they are to meet the performance specifications of the first named manufacturer.</w:t>
      </w:r>
    </w:p>
    <w:p>
      <w:pPr>
        <w:pStyle w:val="P36"/>
      </w:pPr>
      <w:r>
        <w:br w:type="page"/>
        <w:t>Turbidity Analyzers</w:t>
      </w:r>
    </w:p>
    <w:tbl>
      <w:tblPr>
        <w:tblStyle w:val="T2"/>
        <w:tblW w:w="6935"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3249" w:type="dxa"/>
            <w:shd w:val="clear" w:color="33CCCC" w:fill="E6E6E6"/>
            <w:vAlign w:val="bottom"/>
          </w:tcPr>
          <w:p>
            <w:pPr>
              <w:rPr>
                <w:rFonts w:ascii="Calibri" w:hAnsi="Calibri"/>
                <w:b w:val="1"/>
                <w:u w:val="single"/>
              </w:rPr>
            </w:pPr>
            <w:r>
              <w:rPr>
                <w:rFonts w:ascii="Calibri" w:hAnsi="Calibri"/>
                <w:b w:val="1"/>
                <w:u w:val="single"/>
              </w:rPr>
              <w:t>Service:</w:t>
            </w:r>
          </w:p>
        </w:tc>
        <w:tc>
          <w:tcPr>
            <w:tcW w:w="3686" w:type="dxa"/>
            <w:vAlign w:val="bottom"/>
          </w:tcPr>
          <w:p>
            <w:pPr>
              <w:jc w:val="center"/>
              <w:rPr>
                <w:rFonts w:ascii="Calibri" w:hAnsi="Calibri"/>
                <w:color w:val="000000"/>
                <w:highlight w:val="yellow"/>
              </w:rPr>
            </w:pPr>
            <w:r>
              <w:rPr>
                <w:rFonts w:ascii="Calibri" w:hAnsi="Calibri"/>
                <w:color w:val="000000"/>
                <w:highlight w:val="yellow"/>
              </w:rPr>
              <w:t>Low Turbidity Levels</w:t>
            </w:r>
          </w:p>
        </w:tc>
      </w:tr>
      <w:tr>
        <w:trPr>
          <w:wAfter w:w="0" w:type="dxa"/>
          <w:trHeight w:hRule="exact" w:val="302"/>
        </w:trPr>
        <w:tc>
          <w:tcPr>
            <w:tcW w:w="3249" w:type="dxa"/>
            <w:shd w:val="clear" w:color="33CCCC" w:fill="E6E6E6"/>
            <w:vAlign w:val="bottom"/>
          </w:tcPr>
          <w:p>
            <w:pPr>
              <w:rPr>
                <w:rFonts w:ascii="Calibri" w:hAnsi="Calibri"/>
                <w:b w:val="1"/>
                <w:u w:val="single"/>
              </w:rPr>
            </w:pPr>
            <w:r>
              <w:rPr>
                <w:rFonts w:ascii="Calibri" w:hAnsi="Calibri"/>
                <w:b w:val="1"/>
                <w:u w:val="single"/>
              </w:rPr>
              <w:t>Process:</w:t>
            </w:r>
          </w:p>
        </w:tc>
        <w:tc>
          <w:tcPr>
            <w:tcW w:w="3686"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294"/>
        </w:trPr>
        <w:tc>
          <w:tcPr>
            <w:tcW w:w="3249" w:type="dxa"/>
            <w:shd w:val="clear" w:color="33CCCC" w:fill="E6E6E6"/>
            <w:vAlign w:val="bottom"/>
          </w:tcPr>
          <w:p>
            <w:pPr>
              <w:jc w:val="right"/>
              <w:rPr>
                <w:rFonts w:ascii="Calibri" w:hAnsi="Calibri"/>
              </w:rPr>
            </w:pPr>
            <w:r>
              <w:rPr>
                <w:rFonts w:ascii="Calibri" w:hAnsi="Calibri"/>
              </w:rPr>
              <w:t>Tag Name:</w:t>
            </w:r>
          </w:p>
        </w:tc>
        <w:tc>
          <w:tcPr>
            <w:tcW w:w="3686" w:type="dxa"/>
            <w:vAlign w:val="bottom"/>
          </w:tcPr>
          <w:p>
            <w:pPr>
              <w:jc w:val="center"/>
              <w:rPr>
                <w:rFonts w:ascii="Calibri" w:hAnsi="Calibri"/>
                <w:color w:val="000000"/>
                <w:highlight w:val="yellow"/>
              </w:rPr>
            </w:pPr>
            <w:bookmarkStart w:id="3" w:name="_Hlk61250239"/>
            <w:r>
              <w:rPr>
                <w:rFonts w:ascii="Calibri" w:hAnsi="Calibri"/>
                <w:color w:val="000000"/>
                <w:highlight w:val="yellow"/>
              </w:rPr>
              <w:t>XXYYZZ_PROC_EQUIP</w:t>
            </w:r>
            <w:bookmarkEnd w:id="3"/>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Installation DWG:</w:t>
            </w:r>
          </w:p>
        </w:tc>
        <w:tc>
          <w:tcPr>
            <w:tcW w:w="3686" w:type="dxa"/>
            <w:vAlign w:val="bottom"/>
          </w:tcPr>
          <w:p>
            <w:pPr>
              <w:jc w:val="center"/>
              <w:rPr>
                <w:rFonts w:ascii="Calibri" w:hAnsi="Calibri"/>
                <w:color w:val="000000"/>
                <w:highlight w:val="yellow"/>
              </w:rPr>
            </w:pPr>
            <w:r>
              <w:rPr>
                <w:rFonts w:ascii="Calibri" w:hAnsi="Calibri"/>
                <w:color w:val="000000"/>
                <w:highlight w:val="yellow"/>
              </w:rPr>
              <w:t>13180A</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Fluid:</w:t>
            </w:r>
          </w:p>
        </w:tc>
        <w:tc>
          <w:tcPr>
            <w:tcW w:w="3686"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Temp min/max:</w:t>
            </w:r>
          </w:p>
        </w:tc>
        <w:tc>
          <w:tcPr>
            <w:tcW w:w="3686" w:type="dxa"/>
            <w:vAlign w:val="bottom"/>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Press min/max:</w:t>
            </w:r>
          </w:p>
        </w:tc>
        <w:tc>
          <w:tcPr>
            <w:tcW w:w="3686" w:type="dxa"/>
            <w:vAlign w:val="bottom"/>
          </w:tcPr>
          <w:p>
            <w:pPr>
              <w:jc w:val="center"/>
              <w:rPr>
                <w:rFonts w:ascii="Calibri" w:hAnsi="Calibri"/>
                <w:color w:val="000000"/>
                <w:highlight w:val="yellow"/>
              </w:rPr>
            </w:pPr>
            <w:r>
              <w:rPr>
                <w:rFonts w:ascii="Calibri" w:hAnsi="Calibri"/>
                <w:color w:val="000000"/>
                <w:highlight w:val="yellow"/>
              </w:rPr>
              <w:t>0 to 100 kPa</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Flow min/max:</w:t>
            </w:r>
          </w:p>
        </w:tc>
        <w:tc>
          <w:tcPr>
            <w:tcW w:w="3686" w:type="dxa"/>
            <w:vAlign w:val="bottom"/>
          </w:tcPr>
          <w:p>
            <w:pPr>
              <w:jc w:val="center"/>
              <w:rPr>
                <w:rFonts w:ascii="Calibri" w:hAnsi="Calibri"/>
                <w:color w:val="000000"/>
                <w:highlight w:val="yellow"/>
              </w:rPr>
            </w:pPr>
            <w:r>
              <w:rPr>
                <w:rFonts w:ascii="Calibri" w:hAnsi="Calibri"/>
                <w:color w:val="000000"/>
                <w:highlight w:val="yellow"/>
              </w:rPr>
              <w:t>0 to 40 L/sec</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rPr>
              <w:t>Turbidity:</w:t>
            </w:r>
          </w:p>
        </w:tc>
        <w:tc>
          <w:tcPr>
            <w:tcW w:w="3686" w:type="dxa"/>
            <w:vAlign w:val="bottom"/>
          </w:tcPr>
          <w:p>
            <w:pPr>
              <w:jc w:val="center"/>
              <w:rPr>
                <w:rFonts w:ascii="Calibri" w:hAnsi="Calibri"/>
                <w:color w:val="000000"/>
                <w:highlight w:val="yellow"/>
              </w:rPr>
            </w:pPr>
            <w:r>
              <w:rPr>
                <w:rFonts w:ascii="Calibri" w:hAnsi="Calibri"/>
                <w:color w:val="000000"/>
                <w:highlight w:val="yellow"/>
              </w:rPr>
              <w:t>0 to 10 NTU </w:t>
            </w:r>
          </w:p>
        </w:tc>
      </w:tr>
      <w:tr>
        <w:trPr>
          <w:wAfter w:w="0" w:type="dxa"/>
          <w:trHeight w:hRule="exact" w:val="302"/>
        </w:trPr>
        <w:tc>
          <w:tcPr>
            <w:tcW w:w="3249" w:type="dxa"/>
            <w:shd w:val="clear" w:color="33CCCC" w:fill="E6E6E6"/>
            <w:vAlign w:val="bottom"/>
          </w:tcPr>
          <w:p>
            <w:pPr>
              <w:rPr>
                <w:rFonts w:ascii="Calibri" w:hAnsi="Calibri"/>
                <w:b w:val="1"/>
                <w:u w:val="single"/>
              </w:rPr>
            </w:pPr>
            <w:r>
              <w:rPr>
                <w:rFonts w:ascii="Calibri" w:hAnsi="Calibri"/>
                <w:b w:val="1"/>
                <w:u w:val="single"/>
              </w:rPr>
              <w:t>Device Data:</w:t>
            </w:r>
          </w:p>
        </w:tc>
        <w:tc>
          <w:tcPr>
            <w:tcW w:w="3686"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582"/>
        </w:trPr>
        <w:tc>
          <w:tcPr>
            <w:tcW w:w="3249" w:type="dxa"/>
            <w:shd w:val="clear" w:color="33CCCC" w:fill="E6E6E6"/>
            <w:vAlign w:val="bottom"/>
          </w:tcPr>
          <w:p>
            <w:pPr>
              <w:jc w:val="right"/>
              <w:rPr>
                <w:rFonts w:ascii="Calibri" w:hAnsi="Calibri"/>
              </w:rPr>
            </w:pPr>
            <w:r>
              <w:rPr>
                <w:rFonts w:ascii="Calibri" w:hAnsi="Calibri"/>
              </w:rPr>
              <w:t>Model:</w:t>
            </w:r>
          </w:p>
        </w:tc>
        <w:tc>
          <w:tcPr>
            <w:tcW w:w="3686" w:type="dxa"/>
            <w:vAlign w:val="bottom"/>
          </w:tcPr>
          <w:p>
            <w:pPr>
              <w:jc w:val="center"/>
              <w:rPr>
                <w:rFonts w:ascii="Calibri" w:hAnsi="Calibri"/>
                <w:color w:val="000000"/>
                <w:highlight w:val="yellow"/>
              </w:rPr>
            </w:pPr>
            <w:r>
              <w:rPr>
                <w:rFonts w:ascii="Calibri" w:hAnsi="Calibri"/>
                <w:color w:val="000000"/>
              </w:rPr>
              <w:t xml:space="preserve">TU5300sc Turbidmeter with sc200 Controller </w:t>
            </w:r>
          </w:p>
        </w:tc>
      </w:tr>
      <w:tr>
        <w:trPr>
          <w:wAfter w:w="0" w:type="dxa"/>
          <w:trHeight w:hRule="exact" w:val="302"/>
        </w:trPr>
        <w:tc>
          <w:tcPr>
            <w:tcW w:w="3249" w:type="dxa"/>
            <w:shd w:val="clear" w:color="33CCCC" w:fill="E6E6E6"/>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Manufacturer:</w:t>
            </w:r>
          </w:p>
        </w:tc>
        <w:tc>
          <w:tcPr>
            <w:tcW w:w="3686" w:type="dxa"/>
            <w:vAlign w:val="bottom"/>
          </w:tcPr>
          <w:p>
            <w:pPr>
              <w:jc w:val="center"/>
              <w:rPr>
                <w:rFonts w:ascii="Calibri" w:hAnsi="Calibri"/>
                <w:color w:val="000000"/>
                <w:highlight w:val="yellow"/>
              </w:rPr>
            </w:pPr>
            <w:r>
              <w:rPr>
                <w:rFonts w:ascii="Calibri" w:hAnsi="Calibri"/>
                <w:color w:val="000000"/>
              </w:rPr>
              <w:t>HACH</w:t>
            </w:r>
          </w:p>
        </w:tc>
      </w:tr>
      <w:tr>
        <w:trPr>
          <w:wAfter w:w="0" w:type="dxa"/>
          <w:trHeight w:hRule="exact" w:val="600"/>
        </w:trPr>
        <w:tc>
          <w:tcPr>
            <w:tcW w:w="3249" w:type="dxa"/>
            <w:shd w:val="clear" w:color="33CCCC" w:fill="E6E6E6"/>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Part Number:</w:t>
            </w:r>
          </w:p>
        </w:tc>
        <w:tc>
          <w:tcPr>
            <w:tcW w:w="3686" w:type="dxa"/>
            <w:vAlign w:val="bottom"/>
          </w:tcPr>
          <w:p>
            <w:pPr>
              <w:jc w:val="center"/>
              <w:rPr>
                <w:rFonts w:ascii="Calibri" w:hAnsi="Calibri"/>
                <w:color w:val="000000"/>
              </w:rPr>
            </w:pPr>
            <w:r>
              <w:rPr>
                <w:rFonts w:ascii="Calibri" w:hAnsi="Calibri"/>
                <w:color w:val="000000"/>
              </w:rPr>
              <w:t>LXV445.99.23122 (Turbidimeter)</w:t>
            </w:r>
          </w:p>
          <w:p>
            <w:pPr>
              <w:jc w:val="center"/>
              <w:rPr>
                <w:rFonts w:ascii="Calibri" w:hAnsi="Calibri"/>
                <w:color w:val="000000"/>
                <w:highlight w:val="yellow"/>
              </w:rPr>
            </w:pPr>
            <w:r>
              <w:rPr>
                <w:rFonts w:ascii="Calibri" w:hAnsi="Calibri"/>
                <w:color w:val="000000"/>
              </w:rPr>
              <w:t>LXV404.99.00552 (Controller)</w:t>
            </w:r>
          </w:p>
        </w:tc>
      </w:tr>
      <w:tr>
        <w:trPr>
          <w:wAfter w:w="0" w:type="dxa"/>
          <w:trHeight w:hRule="exact" w:val="302"/>
        </w:trPr>
        <w:tc>
          <w:tcPr>
            <w:tcW w:w="3249" w:type="dxa"/>
            <w:shd w:val="clear" w:color="33CCCC" w:fill="E6E6E6"/>
            <w:vAlign w:val="center"/>
          </w:tcPr>
          <w:p>
            <w:pPr>
              <w:rPr>
                <w:rFonts w:ascii="Calibri" w:hAnsi="Calibri"/>
                <w:color w:val="000000"/>
              </w:rPr>
            </w:pPr>
            <w:r>
              <w:rPr>
                <w:rFonts w:ascii="Calibri" w:hAnsi="Calibri"/>
                <w:b w:val="1"/>
                <w:u w:val="single"/>
              </w:rPr>
              <w:t>Accessories:</w:t>
            </w:r>
          </w:p>
        </w:tc>
        <w:tc>
          <w:tcPr>
            <w:tcW w:w="3686" w:type="dxa"/>
            <w:vAlign w:val="bottom"/>
          </w:tcPr>
          <w:p>
            <w:pPr>
              <w:jc w:val="center"/>
              <w:rPr>
                <w:rFonts w:ascii="Calibri" w:hAnsi="Calibri"/>
                <w:color w:val="000000"/>
              </w:rPr>
            </w:pP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color w:val="000000"/>
              </w:rPr>
              <w:t>Extension Cable, 7.7m:</w:t>
            </w:r>
          </w:p>
        </w:tc>
        <w:tc>
          <w:tcPr>
            <w:tcW w:w="3686" w:type="dxa"/>
            <w:vAlign w:val="bottom"/>
          </w:tcPr>
          <w:p>
            <w:pPr>
              <w:jc w:val="center"/>
              <w:rPr>
                <w:rFonts w:ascii="Calibri" w:hAnsi="Calibri"/>
                <w:color w:val="000000"/>
                <w:highlight w:val="yellow"/>
              </w:rPr>
            </w:pPr>
            <w:r>
              <w:rPr>
                <w:rFonts w:ascii="Calibri" w:hAnsi="Calibri"/>
                <w:color w:val="000000"/>
                <w:highlight w:val="yellow"/>
              </w:rPr>
              <w:t>5796000</w:t>
            </w:r>
          </w:p>
        </w:tc>
      </w:tr>
      <w:tr>
        <w:trPr>
          <w:wAfter w:w="0" w:type="dxa"/>
          <w:trHeight w:hRule="exact" w:val="302"/>
        </w:trPr>
        <w:tc>
          <w:tcPr>
            <w:tcW w:w="3249" w:type="dxa"/>
            <w:shd w:val="clear" w:color="33CCCC" w:fill="E6E6E6"/>
            <w:vAlign w:val="bottom"/>
          </w:tcPr>
          <w:p>
            <w:pPr>
              <w:jc w:val="right"/>
              <w:rPr>
                <w:rFonts w:ascii="Calibri" w:hAnsi="Calibri"/>
              </w:rPr>
            </w:pPr>
            <w:r>
              <w:rPr>
                <w:rFonts w:ascii="Calibri" w:hAnsi="Calibri"/>
                <w:color w:val="000000"/>
              </w:rPr>
              <w:t>Stablcal Calibration Set:</w:t>
            </w:r>
          </w:p>
        </w:tc>
        <w:tc>
          <w:tcPr>
            <w:tcW w:w="3686" w:type="dxa"/>
            <w:vAlign w:val="bottom"/>
          </w:tcPr>
          <w:p>
            <w:pPr>
              <w:jc w:val="center"/>
              <w:rPr>
                <w:rFonts w:ascii="Calibri" w:hAnsi="Calibri"/>
                <w:color w:val="000000"/>
                <w:highlight w:val="yellow"/>
              </w:rPr>
            </w:pPr>
            <w:r>
              <w:rPr>
                <w:rFonts w:ascii="Calibri" w:hAnsi="Calibri"/>
                <w:color w:val="000000"/>
                <w:highlight w:val="yellow"/>
              </w:rPr>
              <w:t>LZY835</w:t>
            </w:r>
          </w:p>
        </w:tc>
      </w:tr>
      <w:tr>
        <w:trPr>
          <w:wAfter w:w="0" w:type="dxa"/>
          <w:trHeight w:hRule="exact" w:val="302"/>
        </w:trPr>
        <w:tc>
          <w:tcPr>
            <w:tcW w:w="3249" w:type="dxa"/>
            <w:shd w:val="clear" w:color="33CCCC" w:fill="E6E6E6"/>
            <w:vAlign w:val="bottom"/>
          </w:tcPr>
          <w:p>
            <w:pPr>
              <w:jc w:val="right"/>
              <w:rPr>
                <w:rFonts w:ascii="Calibri" w:hAnsi="Calibri"/>
                <w:color w:val="000000"/>
              </w:rPr>
            </w:pPr>
            <w:r>
              <w:rPr>
                <w:rFonts w:ascii="Calibri" w:hAnsi="Calibri"/>
                <w:color w:val="000000"/>
              </w:rPr>
              <w:t>Maintenance Kit for TU5300sc: Module:</w:t>
            </w:r>
          </w:p>
        </w:tc>
        <w:tc>
          <w:tcPr>
            <w:tcW w:w="3686" w:type="dxa"/>
            <w:vAlign w:val="bottom"/>
          </w:tcPr>
          <w:p>
            <w:pPr>
              <w:jc w:val="center"/>
              <w:rPr>
                <w:rFonts w:ascii="Calibri" w:hAnsi="Calibri"/>
                <w:color w:val="000000"/>
                <w:highlight w:val="yellow"/>
              </w:rPr>
            </w:pPr>
            <w:r>
              <w:rPr>
                <w:rFonts w:ascii="Calibri" w:hAnsi="Calibri"/>
                <w:color w:val="000000"/>
                <w:highlight w:val="yellow"/>
              </w:rPr>
              <w:t>LZY907.91.00002</w:t>
            </w:r>
          </w:p>
        </w:tc>
      </w:tr>
      <w:tr>
        <w:trPr>
          <w:wAfter w:w="0" w:type="dxa"/>
          <w:trHeight w:hRule="exact" w:val="302"/>
        </w:trPr>
        <w:tc>
          <w:tcPr>
            <w:tcW w:w="3249" w:type="dxa"/>
            <w:shd w:val="clear" w:color="33CCCC" w:fill="E6E6E6"/>
            <w:vAlign w:val="bottom"/>
          </w:tcPr>
          <w:p>
            <w:pPr>
              <w:jc w:val="right"/>
              <w:rPr>
                <w:rFonts w:ascii="Calibri" w:hAnsi="Calibri"/>
                <w:color w:val="000000"/>
              </w:rPr>
            </w:pPr>
            <w:r>
              <w:rPr>
                <w:rFonts w:ascii="Calibri" w:hAnsi="Calibri"/>
                <w:color w:val="000000"/>
              </w:rPr>
              <w:t xml:space="preserve"> Replacement Vial for TU5300sc:</w:t>
            </w:r>
          </w:p>
        </w:tc>
        <w:tc>
          <w:tcPr>
            <w:tcW w:w="3686" w:type="dxa"/>
            <w:vAlign w:val="bottom"/>
          </w:tcPr>
          <w:p>
            <w:pPr>
              <w:jc w:val="center"/>
              <w:rPr>
                <w:rFonts w:ascii="Calibri" w:hAnsi="Calibri"/>
                <w:color w:val="000000"/>
                <w:highlight w:val="yellow"/>
              </w:rPr>
            </w:pPr>
            <w:r>
              <w:rPr>
                <w:rFonts w:ascii="Calibri" w:hAnsi="Calibri"/>
                <w:color w:val="000000"/>
                <w:highlight w:val="yellow"/>
              </w:rPr>
              <w:t>LZY834</w:t>
            </w:r>
          </w:p>
        </w:tc>
      </w:tr>
      <w:tr>
        <w:trPr>
          <w:wAfter w:w="0" w:type="dxa"/>
          <w:trHeight w:hRule="exact" w:val="302"/>
        </w:trPr>
        <w:tc>
          <w:tcPr>
            <w:tcW w:w="3249" w:type="dxa"/>
            <w:shd w:val="clear" w:color="33CCCC" w:fill="E6E6E6"/>
            <w:vAlign w:val="bottom"/>
          </w:tcPr>
          <w:p>
            <w:pPr>
              <w:jc w:val="right"/>
              <w:rPr>
                <w:rFonts w:ascii="Calibri" w:hAnsi="Calibri"/>
                <w:color w:val="000000"/>
              </w:rPr>
            </w:pPr>
            <w:r>
              <w:rPr>
                <w:rFonts w:ascii="Calibri" w:hAnsi="Calibri"/>
                <w:color w:val="000000"/>
              </w:rPr>
              <w:t xml:space="preserve">Tubing for TU5300 sc: </w:t>
            </w:r>
          </w:p>
        </w:tc>
        <w:tc>
          <w:tcPr>
            <w:tcW w:w="3686" w:type="dxa"/>
            <w:vAlign w:val="bottom"/>
          </w:tcPr>
          <w:p>
            <w:pPr>
              <w:jc w:val="center"/>
              <w:rPr>
                <w:rFonts w:ascii="Calibri" w:hAnsi="Calibri"/>
                <w:color w:val="000000"/>
                <w:highlight w:val="yellow"/>
              </w:rPr>
            </w:pPr>
            <w:r>
              <w:rPr>
                <w:rFonts w:ascii="Calibri" w:hAnsi="Calibri"/>
                <w:color w:val="000000"/>
                <w:highlight w:val="yellow"/>
              </w:rPr>
              <w:t>LZY911</w:t>
            </w:r>
          </w:p>
        </w:tc>
      </w:tr>
      <w:tr>
        <w:trPr>
          <w:wAfter w:w="0" w:type="dxa"/>
          <w:trHeight w:hRule="exact" w:val="302"/>
        </w:trPr>
        <w:tc>
          <w:tcPr>
            <w:tcW w:w="3249" w:type="dxa"/>
            <w:shd w:val="clear" w:color="33CCCC" w:fill="E6E6E6"/>
            <w:vAlign w:val="bottom"/>
          </w:tcPr>
          <w:p>
            <w:pPr>
              <w:jc w:val="right"/>
              <w:rPr>
                <w:rFonts w:ascii="Calibri" w:hAnsi="Calibri"/>
                <w:color w:val="000000"/>
              </w:rPr>
            </w:pPr>
            <w:r>
              <w:rPr>
                <w:rFonts w:ascii="Calibri" w:hAnsi="Calibri"/>
                <w:color w:val="000000"/>
              </w:rPr>
              <w:t>Desiccant Cartridge for TU5300sc:</w:t>
            </w:r>
          </w:p>
        </w:tc>
        <w:tc>
          <w:tcPr>
            <w:tcW w:w="3686" w:type="dxa"/>
            <w:vAlign w:val="bottom"/>
          </w:tcPr>
          <w:p>
            <w:pPr>
              <w:jc w:val="center"/>
              <w:rPr>
                <w:rFonts w:ascii="Calibri" w:hAnsi="Calibri"/>
                <w:color w:val="000000"/>
                <w:highlight w:val="yellow"/>
              </w:rPr>
            </w:pPr>
            <w:r>
              <w:rPr>
                <w:rFonts w:ascii="Calibri" w:hAnsi="Calibri"/>
                <w:color w:val="000000"/>
                <w:highlight w:val="yellow"/>
              </w:rPr>
              <w:t>LZY876</w:t>
            </w:r>
          </w:p>
        </w:tc>
      </w:tr>
      <w:tr>
        <w:trPr>
          <w:wAfter w:w="0" w:type="dxa"/>
          <w:trHeight w:hRule="exact" w:val="302"/>
        </w:trPr>
        <w:tc>
          <w:tcPr>
            <w:tcW w:w="3249" w:type="dxa"/>
            <w:shd w:val="clear" w:color="33CCCC" w:fill="E6E6E6"/>
            <w:vAlign w:val="center"/>
          </w:tcPr>
          <w:p>
            <w:pPr>
              <w:tabs>
                <w:tab w:val="left" w:pos="720" w:leader="none"/>
                <w:tab w:val="left" w:pos="1440" w:leader="none"/>
                <w:tab w:val="left" w:pos="2160" w:leader="none"/>
                <w:tab w:val="left" w:pos="2880" w:leader="none"/>
              </w:tabs>
              <w:rPr>
                <w:rFonts w:ascii="Calibri" w:hAnsi="Calibri"/>
                <w:color w:val="000000"/>
              </w:rPr>
            </w:pPr>
          </w:p>
        </w:tc>
        <w:tc>
          <w:tcPr>
            <w:tcW w:w="3686" w:type="dxa"/>
            <w:vAlign w:val="bottom"/>
          </w:tcPr>
          <w:p>
            <w:pPr>
              <w:jc w:val="center"/>
              <w:rPr>
                <w:rFonts w:ascii="Calibri" w:hAnsi="Calibri"/>
                <w:color w:val="000000"/>
              </w:rPr>
            </w:pPr>
            <w:r>
              <w:rPr>
                <w:rFonts w:ascii="Calibri" w:hAnsi="Calibri"/>
                <w:i w:val="1"/>
                <w:color w:val="000000"/>
                <w:highlight w:val="yellow"/>
              </w:rPr>
              <w:t>Additional added as nece</w:t>
            </w:r>
            <w:r>
              <w:rPr>
                <w:rFonts w:ascii="Calibri" w:hAnsi="Calibri"/>
                <w:i w:val="1"/>
                <w:color w:val="000000"/>
                <w:highlight w:val="yellow"/>
              </w:rPr>
              <w:t>s</w:t>
            </w:r>
            <w:r>
              <w:rPr>
                <w:rFonts w:ascii="Calibri" w:hAnsi="Calibri"/>
                <w:i w:val="1"/>
                <w:color w:val="000000"/>
                <w:highlight w:val="yellow"/>
              </w:rPr>
              <w:t>sary</w:t>
            </w:r>
          </w:p>
        </w:tc>
      </w:tr>
    </w:tbl>
    <w:p>
      <w:pPr>
        <w:pStyle w:val="P35"/>
      </w:pPr>
      <w:bookmarkStart w:id="4" w:name="_Toc15372463"/>
      <w:bookmarkStart w:id="5" w:name="_Toc16565143"/>
      <w:r>
        <w:t>EXECUTION</w:t>
      </w:r>
      <w:bookmarkEnd w:id="4"/>
      <w:bookmarkEnd w:id="5"/>
    </w:p>
    <w:p>
      <w:pPr>
        <w:pStyle w:val="P36"/>
      </w:pPr>
      <w:bookmarkStart w:id="6" w:name="_Toc15372464"/>
      <w:bookmarkStart w:id="7" w:name="_Toc16565144"/>
      <w:r>
        <w:t>General</w:t>
      </w:r>
      <w:bookmarkEnd w:id="6"/>
      <w:bookmarkEnd w:id="7"/>
    </w:p>
    <w:p>
      <w:pPr>
        <w:pStyle w:val="P37"/>
      </w:pPr>
      <w:r>
        <w:t>The following installation requirements are in addition to or deviations from the requirements set forth for instrumentation in Section 13105 – Process Control: General Instrumentation Requirements.</w:t>
      </w:r>
    </w:p>
    <w:p>
      <w:pPr>
        <w:pStyle w:val="P38"/>
      </w:pPr>
      <w:r>
        <w:t xml:space="preserve">Locate the sample point to minimize unnecessary dead time in the turbidity analysis.  Take care to ensure the sample is representative of the process stream.</w:t>
      </w:r>
    </w:p>
    <w:p>
      <w:pPr>
        <w:pStyle w:val="P38"/>
      </w:pPr>
      <w:r>
        <w:t xml:space="preserve">Provide a floor drain next to the analyzer. Provide all required process connections, valves, pressure / flow regulators, and miscellaneous mounting hardware not provided with analyzer.  Select type and material for the application.</w:t>
      </w:r>
    </w:p>
    <w:p>
      <w:pPr>
        <w:pStyle w:val="P38"/>
      </w:pPr>
      <w:r>
        <w:t>Install a sample withdrawal valve next to the analyzer so samples can be taken for calibration checks.</w:t>
      </w:r>
    </w:p>
    <w:p>
      <w:pPr>
        <w:pStyle w:val="P38"/>
      </w:pPr>
      <w:r>
        <w:t>The Contractor shall provide a source of clean water and necessary valves so the sample line and probe can be back flushed.</w:t>
      </w:r>
    </w:p>
    <w:p>
      <w:pPr>
        <w:pStyle w:val="P38"/>
      </w:pPr>
      <w:r>
        <w:t>Ensure that the system is on-line 24 hours before start up and calibration for adequate warm up.</w:t>
      </w:r>
    </w:p>
    <w:p>
      <w:pPr>
        <w:pStyle w:val="P38"/>
        <w:rPr>
          <w:color w:val="000000"/>
        </w:rPr>
      </w:pPr>
      <w:r>
        <w:t>Provide a one (1) year supply of spare parts.</w:t>
      </w:r>
    </w:p>
    <w:p>
      <w:pPr>
        <w:pStyle w:val="P38"/>
      </w:pPr>
      <w:r>
        <w:t xml:space="preserve">The Contractor shall provide their own Formazine calibration kit to calibrate analyzers (20 NTU). </w:t>
      </w:r>
    </w:p>
    <w:p>
      <w:pPr>
        <w:pStyle w:val="P38"/>
        <w:rPr>
          <w:rFonts w:ascii="Arial" w:hAnsi="Arial"/>
        </w:rPr>
      </w:pPr>
      <w:r>
        <w:t>Sample Flow; 100 to 1000 mL/min; optimal flow rate 200 to 500mL/min</w:t>
      </w:r>
    </w:p>
    <w:p>
      <w:pPr>
        <w:pStyle w:val="P38"/>
      </w:pPr>
      <w:r>
        <w:t>Sample Pressure; Max. 6 bar (87 psi) compared to air at sample temperature range of 0 to 40 °C (32 to 104 °F)</w:t>
      </w:r>
    </w:p>
    <w:p>
      <w:pPr>
        <w:pStyle w:val="P38"/>
      </w:pPr>
      <w:r>
        <w:t>The Contractor shall supply and install all required process connections, valves, pressure / flow regulators, and miscellaneous mounting hardware not provided with analyzer.</w:t>
      </w:r>
    </w:p>
    <w:p>
      <w:pPr>
        <w:pStyle w:val="P38"/>
      </w:pPr>
      <w:r>
        <w:t>Sample unit shall incorporate a built-in bubble trap to effectively purge the sample of entrapped air prior to measurement.</w:t>
      </w:r>
    </w:p>
    <w:p>
      <w:pPr>
        <w:pStyle w:val="P38"/>
      </w:pPr>
      <w:r>
        <w:t>Control unit shall be capable of offsetting the turbidity of pure water to read 0.0000 on particle free water.</w:t>
      </w:r>
    </w:p>
    <w:p>
      <w:pPr>
        <w:pStyle w:val="P38"/>
      </w:pPr>
      <w:r>
        <w:t>A bubble rejection circuit shall eliminate measurement spikes due to transient sample conditions.</w:t>
      </w:r>
    </w:p>
    <w:p>
      <w:pPr>
        <w:pStyle w:val="P38"/>
      </w:pPr>
      <w:r>
        <w:t>Mount the transmitter unit at grade in a readily accessible location to facilitate maintenance and calibration.</w:t>
      </w:r>
    </w:p>
    <w:p>
      <w:pPr>
        <w:pStyle w:val="P38"/>
      </w:pPr>
      <w:r>
        <w:t xml:space="preserve">Transmitter/electronics not mounted/installed indoors must be installed within fiberglass enclosure with viewing window, thermostat and heater.  Panel heater to be powered from separate circuit than the instrument.</w:t>
      </w:r>
    </w:p>
    <w:p>
      <w:pPr>
        <w:pStyle w:val="P20"/>
        <w:spacing w:before="240"/>
        <w:jc w:val="center"/>
        <w:rPr>
          <w:rFonts w:ascii="Calibri" w:hAnsi="Calibri"/>
          <w:b w:val="1"/>
          <w:sz w:val="22"/>
        </w:rPr>
      </w:pPr>
      <w:r>
        <w:rPr>
          <w:rFonts w:ascii="Calibri" w:hAnsi="Calibri"/>
          <w:b w:val="1"/>
          <w:sz w:val="22"/>
        </w:rPr>
        <w:t>E</w:t>
      </w:r>
      <w:r>
        <w:rPr>
          <w:rFonts w:ascii="Calibri" w:hAnsi="Calibri"/>
          <w:b w:val="1"/>
          <w:sz w:val="22"/>
        </w:rPr>
        <w:t>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T</w:t>
    </w:r>
    <w:r>
      <w:rPr>
        <w:rFonts w:ascii="Arial" w:hAnsi="Arial"/>
        <w:b w:val="1"/>
      </w:rPr>
      <w:t>URBIDITY ANALYZER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w:instrText>
    </w:r>
    <w:r>
      <w:rPr>
        <w:rStyle w:val="C5"/>
        <w:rFonts w:ascii="Arial" w:hAnsi="Arial"/>
        <w:caps w:val="1"/>
        <w:sz w:val="22"/>
      </w:rPr>
      <w:instrText xml:space="preserve">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TURBIDITY ANALYZER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13180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TURBIDITY ANALYZER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23BEAF9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3904"/>
        <w:tabs>
          <w:tab w:val="left" w:pos="2464" w:leader="none"/>
        </w:tabs>
      </w:pPr>
      <w:rPr/>
    </w:lvl>
    <w:lvl w:ilvl="1" w:tplc="6699B161">
      <w:start w:val="1"/>
      <w:numFmt w:val="bullet"/>
      <w:suff w:val="tab"/>
      <w:lvlText w:val="o"/>
      <w:lvlJc w:val="left"/>
      <w:pPr>
        <w:ind w:hanging="360" w:left="4264"/>
        <w:tabs>
          <w:tab w:val="left" w:pos="4264" w:leader="none"/>
        </w:tabs>
      </w:pPr>
      <w:rPr>
        <w:rFonts w:ascii="Courier New" w:hAnsi="Courier New"/>
      </w:rPr>
    </w:lvl>
    <w:lvl w:ilvl="2" w:tplc="7BF5E047">
      <w:start w:val="1"/>
      <w:numFmt w:val="bullet"/>
      <w:suff w:val="tab"/>
      <w:lvlText w:val=""/>
      <w:lvlJc w:val="left"/>
      <w:pPr>
        <w:ind w:hanging="360" w:left="4984"/>
        <w:tabs>
          <w:tab w:val="left" w:pos="4984" w:leader="none"/>
        </w:tabs>
      </w:pPr>
      <w:rPr>
        <w:rFonts w:ascii="Wingdings" w:hAnsi="Wingdings"/>
      </w:rPr>
    </w:lvl>
    <w:lvl w:ilvl="3" w:tplc="3E54C4BA">
      <w:start w:val="1"/>
      <w:numFmt w:val="bullet"/>
      <w:suff w:val="tab"/>
      <w:lvlText w:val=""/>
      <w:lvlJc w:val="left"/>
      <w:pPr>
        <w:ind w:hanging="360" w:left="5704"/>
        <w:tabs>
          <w:tab w:val="left" w:pos="5704" w:leader="none"/>
        </w:tabs>
      </w:pPr>
      <w:rPr>
        <w:rFonts w:ascii="Symbol" w:hAnsi="Symbol"/>
      </w:rPr>
    </w:lvl>
    <w:lvl w:ilvl="4" w:tplc="0B6632BF">
      <w:start w:val="1"/>
      <w:numFmt w:val="bullet"/>
      <w:suff w:val="tab"/>
      <w:lvlText w:val="o"/>
      <w:lvlJc w:val="left"/>
      <w:pPr>
        <w:ind w:hanging="360" w:left="6424"/>
        <w:tabs>
          <w:tab w:val="left" w:pos="6424" w:leader="none"/>
        </w:tabs>
      </w:pPr>
      <w:rPr>
        <w:rFonts w:ascii="Courier New" w:hAnsi="Courier New"/>
      </w:rPr>
    </w:lvl>
    <w:lvl w:ilvl="5" w:tplc="409A59DC">
      <w:start w:val="1"/>
      <w:numFmt w:val="bullet"/>
      <w:suff w:val="tab"/>
      <w:lvlText w:val=""/>
      <w:lvlJc w:val="left"/>
      <w:pPr>
        <w:ind w:hanging="360" w:left="7144"/>
        <w:tabs>
          <w:tab w:val="left" w:pos="7144" w:leader="none"/>
        </w:tabs>
      </w:pPr>
      <w:rPr>
        <w:rFonts w:ascii="Wingdings" w:hAnsi="Wingdings"/>
      </w:rPr>
    </w:lvl>
    <w:lvl w:ilvl="6" w:tplc="7632C8EF">
      <w:start w:val="1"/>
      <w:numFmt w:val="bullet"/>
      <w:suff w:val="tab"/>
      <w:lvlText w:val=""/>
      <w:lvlJc w:val="left"/>
      <w:pPr>
        <w:ind w:hanging="360" w:left="7864"/>
        <w:tabs>
          <w:tab w:val="left" w:pos="7864" w:leader="none"/>
        </w:tabs>
      </w:pPr>
      <w:rPr>
        <w:rFonts w:ascii="Symbol" w:hAnsi="Symbol"/>
      </w:rPr>
    </w:lvl>
    <w:lvl w:ilvl="7">
      <w:start w:val="1"/>
      <w:numFmt w:val="decimal"/>
      <w:suff w:val="tab"/>
      <w:lvlText w:val="%8."/>
      <w:lvlJc w:val="left"/>
      <w:pPr>
        <w:ind w:hanging="360" w:left="8584"/>
        <w:tabs>
          <w:tab w:val="left" w:pos="8584" w:leader="none"/>
        </w:tabs>
      </w:pPr>
      <w:rPr/>
    </w:lvl>
    <w:lvl w:ilvl="8" w:tplc="5CFB5EB3">
      <w:start w:val="1"/>
      <w:numFmt w:val="bullet"/>
      <w:suff w:val="tab"/>
      <w:lvlText w:val=""/>
      <w:lvlJc w:val="left"/>
      <w:pPr>
        <w:ind w:hanging="360" w:left="9304"/>
        <w:tabs>
          <w:tab w:val="left" w:pos="9304"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2BD345C5">
      <w:start w:val="1"/>
      <w:numFmt w:val="bullet"/>
      <w:suff w:val="tab"/>
      <w:lvlText w:val="o"/>
      <w:lvlJc w:val="left"/>
      <w:pPr>
        <w:ind w:hanging="360" w:left="2268"/>
        <w:tabs>
          <w:tab w:val="left" w:pos="2268" w:leader="none"/>
        </w:tabs>
      </w:pPr>
      <w:rPr>
        <w:rFonts w:ascii="Courier New" w:hAnsi="Courier New"/>
      </w:rPr>
    </w:lvl>
    <w:lvl w:ilvl="2" w:tplc="7067E011">
      <w:start w:val="1"/>
      <w:numFmt w:val="bullet"/>
      <w:suff w:val="tab"/>
      <w:lvlText w:val=""/>
      <w:lvlJc w:val="left"/>
      <w:pPr>
        <w:ind w:hanging="360" w:left="2988"/>
        <w:tabs>
          <w:tab w:val="left" w:pos="2988" w:leader="none"/>
        </w:tabs>
      </w:pPr>
      <w:rPr>
        <w:rFonts w:ascii="Wingdings" w:hAnsi="Wingdings"/>
      </w:rPr>
    </w:lvl>
    <w:lvl w:ilvl="3" w:tplc="5FC52A57">
      <w:start w:val="1"/>
      <w:numFmt w:val="bullet"/>
      <w:suff w:val="tab"/>
      <w:lvlText w:val=""/>
      <w:lvlJc w:val="left"/>
      <w:pPr>
        <w:ind w:hanging="360" w:left="3708"/>
        <w:tabs>
          <w:tab w:val="left" w:pos="3708" w:leader="none"/>
        </w:tabs>
      </w:pPr>
      <w:rPr>
        <w:rFonts w:ascii="Symbol" w:hAnsi="Symbol"/>
      </w:rPr>
    </w:lvl>
    <w:lvl w:ilvl="4" w:tplc="39646A9F">
      <w:start w:val="1"/>
      <w:numFmt w:val="bullet"/>
      <w:suff w:val="tab"/>
      <w:lvlText w:val="o"/>
      <w:lvlJc w:val="left"/>
      <w:pPr>
        <w:ind w:hanging="360" w:left="4428"/>
        <w:tabs>
          <w:tab w:val="left" w:pos="4428" w:leader="none"/>
        </w:tabs>
      </w:pPr>
      <w:rPr>
        <w:rFonts w:ascii="Courier New" w:hAnsi="Courier New"/>
      </w:rPr>
    </w:lvl>
    <w:lvl w:ilvl="5" w:tplc="1B65AFB3">
      <w:start w:val="1"/>
      <w:numFmt w:val="bullet"/>
      <w:suff w:val="tab"/>
      <w:lvlText w:val=""/>
      <w:lvlJc w:val="left"/>
      <w:pPr>
        <w:ind w:hanging="360" w:left="5148"/>
        <w:tabs>
          <w:tab w:val="left" w:pos="5148" w:leader="none"/>
        </w:tabs>
      </w:pPr>
      <w:rPr>
        <w:rFonts w:ascii="Wingdings" w:hAnsi="Wingdings"/>
      </w:rPr>
    </w:lvl>
    <w:lvl w:ilvl="6" w:tplc="17A63BB9">
      <w:start w:val="1"/>
      <w:numFmt w:val="bullet"/>
      <w:suff w:val="tab"/>
      <w:lvlText w:val=""/>
      <w:lvlJc w:val="left"/>
      <w:pPr>
        <w:ind w:hanging="360" w:left="5868"/>
        <w:tabs>
          <w:tab w:val="left" w:pos="5868" w:leader="none"/>
        </w:tabs>
      </w:pPr>
      <w:rPr>
        <w:rFonts w:ascii="Symbol" w:hAnsi="Symbol"/>
      </w:rPr>
    </w:lvl>
    <w:lvl w:ilvl="7" w:tplc="70FF0648">
      <w:start w:val="1"/>
      <w:numFmt w:val="bullet"/>
      <w:suff w:val="tab"/>
      <w:lvlText w:val="o"/>
      <w:lvlJc w:val="left"/>
      <w:pPr>
        <w:ind w:hanging="360" w:left="6588"/>
        <w:tabs>
          <w:tab w:val="left" w:pos="6588" w:leader="none"/>
        </w:tabs>
      </w:pPr>
      <w:rPr>
        <w:rFonts w:ascii="Courier New" w:hAnsi="Courier New"/>
      </w:rPr>
    </w:lvl>
    <w:lvl w:ilvl="8" w:tplc="1D63DAD3">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Style1"/>
    <w:basedOn w:val="P0"/>
    <w:next w:val="P24"/>
    <w:pPr>
      <w:numPr>
        <w:numId w:val="13"/>
      </w:numPr>
      <w:tabs>
        <w:tab w:val="left" w:pos="1080" w:leader="none"/>
        <w:tab w:val="left" w:pos="4320" w:leader="none"/>
      </w:tabs>
      <w:spacing w:lineRule="atLeast" w:line="320" w:before="120" w:after="120"/>
    </w:pPr>
    <w:rPr/>
  </w:style>
  <w:style w:type="paragraph" w:styleId="P25">
    <w:name w:val="Style2"/>
    <w:basedOn w:val="P0"/>
    <w:next w:val="P25"/>
    <w:pPr>
      <w:numPr>
        <w:numId w:val="14"/>
      </w:numPr>
      <w:tabs>
        <w:tab w:val="left" w:pos="4320" w:leader="none"/>
        <w:tab w:val="left" w:pos="9471" w:leader="none"/>
      </w:tabs>
      <w:spacing w:lineRule="atLeast" w:line="320" w:before="120" w:after="120"/>
    </w:pPr>
    <w:rPr>
      <w:rFonts w:ascii="Wingdings" w:hAnsi="Wingdings"/>
    </w:rPr>
  </w:style>
  <w:style w:type="paragraph" w:styleId="P26">
    <w:name w:val="Balloon Text"/>
    <w:basedOn w:val="P0"/>
    <w:next w:val="P26"/>
    <w:link w:val="C8"/>
    <w:pPr/>
    <w:rPr>
      <w:rFonts w:ascii="Tahoma" w:hAnsi="Tahoma"/>
      <w:sz w:val="16"/>
    </w:rPr>
  </w:style>
  <w:style w:type="paragraph" w:styleId="P27">
    <w:name w:val="Plain Text"/>
    <w:basedOn w:val="P0"/>
    <w:next w:val="P27"/>
    <w:link w:val="C10"/>
    <w:pPr/>
    <w:rPr>
      <w:rFonts w:ascii="Courier New" w:hAnsi="Courier New"/>
      <w:sz w:val="20"/>
    </w:rPr>
  </w:style>
  <w:style w:type="paragraph" w:styleId="P28">
    <w:name w:val="Bullet"/>
    <w:basedOn w:val="P4"/>
    <w:next w:val="P4"/>
    <w:pPr/>
    <w:rPr/>
  </w:style>
  <w:style w:type="paragraph" w:styleId="P29">
    <w:name w:val="CSA"/>
    <w:basedOn w:val="P4"/>
    <w:next w:val="P35"/>
    <w:pPr>
      <w:keepNext w:val="1"/>
      <w:spacing w:after="0"/>
    </w:pPr>
    <w:rPr>
      <w:b w:val="1"/>
      <w:caps w:val="1"/>
      <w:sz w:val="20"/>
    </w:rPr>
  </w:style>
  <w:style w:type="paragraph" w:styleId="P30">
    <w:name w:val="Footnote Text"/>
    <w:basedOn w:val="P4"/>
    <w:next w:val="P30"/>
    <w:pPr>
      <w:spacing w:after="0"/>
    </w:pPr>
    <w:rPr>
      <w:rFonts w:ascii="Arial" w:hAnsi="Arial"/>
      <w:sz w:val="16"/>
    </w:rPr>
  </w:style>
  <w:style w:type="paragraph" w:styleId="P31">
    <w:name w:val="Number"/>
    <w:basedOn w:val="P4"/>
    <w:next w:val="P4"/>
    <w:pPr>
      <w:spacing w:after="0"/>
      <w:ind w:hanging="360" w:left="360"/>
    </w:pPr>
    <w:rPr/>
  </w:style>
  <w:style w:type="paragraph" w:styleId="P32">
    <w:name w:val="Tick"/>
    <w:basedOn w:val="P4"/>
    <w:next w:val="P4"/>
    <w:pPr>
      <w:spacing w:after="0"/>
      <w:ind w:hanging="360" w:left="720"/>
    </w:pPr>
    <w:rPr/>
  </w:style>
  <w:style w:type="paragraph" w:styleId="P33">
    <w:name w:val="TOC 1"/>
    <w:basedOn w:val="P4"/>
    <w:next w:val="P46"/>
    <w:pPr>
      <w:tabs>
        <w:tab w:val="right" w:pos="8640" w:leader="dot"/>
      </w:tabs>
      <w:spacing w:after="0"/>
    </w:pPr>
    <w:rPr>
      <w:b w:val="1"/>
    </w:rPr>
  </w:style>
  <w:style w:type="paragraph" w:styleId="P34">
    <w:name w:val="Comment Subject"/>
    <w:basedOn w:val="P5"/>
    <w:next w:val="P5"/>
    <w:pPr>
      <w:spacing w:before="0"/>
    </w:pPr>
    <w:rPr>
      <w:rFonts w:ascii="Book Antiqua" w:hAnsi="Book Antiqua"/>
      <w:b w:val="1"/>
      <w:sz w:val="20"/>
    </w:rPr>
  </w:style>
  <w:style w:type="paragraph" w:styleId="P35">
    <w:name w:val="Heading 1"/>
    <w:aliases w:val="Heading 1S,Contents - level1 Char"/>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6">
    <w:name w:val="Heading 2"/>
    <w:aliases w:val="Heading 2S"/>
    <w:basedOn w:val="P7"/>
    <w:next w:val="P4"/>
    <w:link w:val="C11"/>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7">
    <w:name w:val="Heading 3"/>
    <w:aliases w:val="Heading 3S"/>
    <w:basedOn w:val="P7"/>
    <w:next w:val="P37"/>
    <w:link w:val="C7"/>
    <w:qFormat/>
    <w:pPr>
      <w:numPr>
        <w:ilvl w:val="2"/>
        <w:numId w:val="3"/>
      </w:numPr>
      <w:tabs>
        <w:tab w:val="clear" w:pos="720" w:leader="none"/>
      </w:tabs>
      <w:spacing w:before="80"/>
      <w:ind w:hanging="720" w:left="1440"/>
      <w:outlineLvl w:val="2"/>
    </w:pPr>
    <w:rPr>
      <w:rFonts w:ascii="Calibri" w:hAnsi="Calibri"/>
      <w:b w:val="0"/>
    </w:rPr>
  </w:style>
  <w:style w:type="paragraph" w:styleId="P38">
    <w:name w:val="Heading 4"/>
    <w:aliases w:val="Heading 4S"/>
    <w:basedOn w:val="P7"/>
    <w:next w:val="P38"/>
    <w:link w:val="C12"/>
    <w:qFormat/>
    <w:pPr>
      <w:numPr>
        <w:ilvl w:val="3"/>
        <w:numId w:val="3"/>
      </w:numPr>
      <w:tabs>
        <w:tab w:val="clear" w:pos="864" w:leader="none"/>
      </w:tabs>
      <w:ind w:hanging="720" w:left="2160"/>
      <w:outlineLvl w:val="3"/>
    </w:pPr>
    <w:rPr>
      <w:rFonts w:ascii="Calibri" w:hAnsi="Calibri"/>
      <w:b w:val="0"/>
    </w:rPr>
  </w:style>
  <w:style w:type="paragraph" w:styleId="P39">
    <w:name w:val="Heading 5"/>
    <w:aliases w:val="Heading 5S"/>
    <w:basedOn w:val="P7"/>
    <w:next w:val="P39"/>
    <w:qFormat/>
    <w:pPr>
      <w:numPr>
        <w:ilvl w:val="4"/>
        <w:numId w:val="3"/>
      </w:numPr>
      <w:tabs>
        <w:tab w:val="clear" w:pos="720" w:leader="none"/>
        <w:tab w:val="left" w:pos="5760" w:leader="none"/>
      </w:tabs>
      <w:ind w:hanging="720" w:left="5760"/>
      <w:outlineLvl w:val="4"/>
    </w:pPr>
    <w:rPr>
      <w:rFonts w:ascii="Arial" w:hAnsi="Arial"/>
      <w:b w:val="0"/>
    </w:rPr>
  </w:style>
  <w:style w:type="paragraph" w:styleId="P40">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7"/>
    <w:next w:val="P0"/>
    <w:qFormat/>
    <w:pPr>
      <w:keepNext w:val="1"/>
      <w:spacing w:after="240"/>
    </w:pPr>
    <w:rPr>
      <w:b w:val="0"/>
      <w:i w:val="1"/>
      <w:sz w:val="20"/>
    </w:rPr>
  </w:style>
  <w:style w:type="paragraph" w:styleId="P42">
    <w:name w:val="Exhibit--Number"/>
    <w:basedOn w:val="P7"/>
    <w:next w:val="P48"/>
    <w:pPr>
      <w:spacing w:before="160"/>
    </w:pPr>
    <w:rPr>
      <w:caps w:val="1"/>
      <w:sz w:val="18"/>
    </w:rPr>
  </w:style>
  <w:style w:type="paragraph" w:styleId="P43">
    <w:name w:val="Title"/>
    <w:basedOn w:val="P7"/>
    <w:next w:val="P43"/>
    <w:qFormat/>
    <w:pPr>
      <w:keepNext w:val="1"/>
      <w:spacing w:before="160" w:after="30"/>
    </w:pPr>
    <w:rPr>
      <w:sz w:val="20"/>
    </w:rPr>
  </w:style>
  <w:style w:type="paragraph" w:styleId="P44">
    <w:name w:val="Table Body"/>
    <w:basedOn w:val="P12"/>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4"/>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4"/>
    <w:pPr/>
    <w:rPr>
      <w:i w:val="1"/>
    </w:rPr>
  </w:style>
  <w:style w:type="paragraph" w:styleId="P52">
    <w:name w:val="TOC 4"/>
    <w:basedOn w:val="P50"/>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7"/>
    <w:rPr>
      <w:rFonts w:ascii="Calibri" w:hAnsi="Calibri"/>
      <w:b w:val="0"/>
    </w:rPr>
  </w:style>
  <w:style w:type="character" w:styleId="C8">
    <w:name w:val="Balloon Text Char"/>
    <w:link w:val="P26"/>
    <w:rPr>
      <w:rFonts w:ascii="Tahoma" w:hAnsi="Tahoma"/>
      <w:sz w:val="16"/>
    </w:rPr>
  </w:style>
  <w:style w:type="character" w:styleId="C9">
    <w:name w:val="Comment Text Char"/>
    <w:link w:val="P5"/>
    <w:rPr>
      <w:rFonts w:ascii="Arial" w:hAnsi="Arial"/>
    </w:rPr>
  </w:style>
  <w:style w:type="character" w:styleId="C10">
    <w:name w:val="Plain Text Char"/>
    <w:link w:val="P27"/>
    <w:rPr>
      <w:rFonts w:ascii="Courier New" w:hAnsi="Courier New"/>
      <w:sz w:val="20"/>
    </w:rPr>
  </w:style>
  <w:style w:type="character" w:styleId="C11">
    <w:name w:val="Heading 2 Char"/>
    <w:link w:val="P36"/>
    <w:rPr>
      <w:rFonts w:ascii="Calibri" w:hAnsi="Calibri"/>
      <w:b w:val="0"/>
      <w:u w:val="single"/>
    </w:rPr>
  </w:style>
  <w:style w:type="character" w:styleId="C12">
    <w:name w:val="Heading 4 Char"/>
    <w:link w:val="P38"/>
    <w:rPr>
      <w:rFonts w:ascii="Calibri" w:hAnsi="Calibri"/>
      <w:b w:val="0"/>
    </w:rPr>
  </w:style>
  <w:style w:type="character" w:styleId="C13">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2021-05-11T15:47:00Z</dcterms:created>
  <cp:lastModifiedBy>Ray</cp:lastModifiedBy>
  <cp:lastPrinted>2006-08-30T12:58:00Z</cp:lastPrinted>
  <dcterms:modified xsi:type="dcterms:W3CDTF">2022-10-04T19:38:53Z</dcterms:modified>
  <cp:revision>8</cp:revision>
  <dc:title>13180 Turbidity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114100.000000000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