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4A14C9" Type="http://schemas.openxmlformats.org/officeDocument/2006/relationships/officeDocument" Target="word/document.xml"/><Relationship Id="coreR474A14C9" Type="http://schemas.openxmlformats.org/package/2006/relationships/metadata/core-properties" Target="docProps/core.xml"/><Relationship Id="customR474A14C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This specification is for pressure transmitters for use in pipes and vessels. Applications include continuous measurement and absolute pressure in liquids, vapors and gasses.</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pressure measuring systems, complete and operable, in accordance with the Contract Documents.</w:t>
      </w:r>
    </w:p>
    <w:p>
      <w:pPr>
        <w:pStyle w:val="P37"/>
      </w:pPr>
      <w:r>
        <w:t>Measurement and Payment</w:t>
      </w:r>
    </w:p>
    <w:p>
      <w:pPr>
        <w:pStyle w:val="P38"/>
      </w:pPr>
      <w:r>
        <w:t>The work outlined in this section shall be included in the lump sum price for Section 13200 – Gauge Pressure Transmitter as indicated in the Bid Form.</w:t>
      </w:r>
    </w:p>
    <w:p>
      <w:pPr>
        <w:pStyle w:val="P37"/>
      </w:pPr>
      <w:bookmarkStart w:id="0" w:name="_Toc16561602"/>
      <w:r>
        <w:t>Sensor</w:t>
      </w:r>
      <w:bookmarkEnd w:id="0"/>
    </w:p>
    <w:p>
      <w:pPr>
        <w:pStyle w:val="P38"/>
      </w:pPr>
      <w:r>
        <w:t>Microprocessor based electronics generates output proportional to pressure.</w:t>
      </w:r>
    </w:p>
    <w:p>
      <w:pPr>
        <w:pStyle w:val="P38"/>
      </w:pPr>
      <w:r>
        <w:t>Snubbers, when applicable, shall be standard equipment from the primary element supplier.</w:t>
      </w:r>
    </w:p>
    <w:p>
      <w:pPr>
        <w:pStyle w:val="P38"/>
      </w:pPr>
      <w:r>
        <w:t xml:space="preserve">Seals, when applicable, shall be standard equipment from the primary element supplier.   Provide pancake or flanged seals as required to suit the process connections, 316 stainless steel housing, SS diaphragm material, Teflon coated, 50 mm process connection unless noted otherwise, 6 mm flushing connection in bottom housing, DC 200 fill fluid, 1.75 mm PVC coated armored capillary minimum 4 meters length, rated from vacuum to 2500 psig and –40</w:t>
      </w:r>
      <w:r>
        <w:rPr>
          <w:vertAlign w:val="superscript"/>
        </w:rPr>
        <w:t>o</w:t>
      </w:r>
      <w:r>
        <w:t>C to 200</w:t>
      </w:r>
      <w:r>
        <w:rPr>
          <w:vertAlign w:val="superscript"/>
        </w:rPr>
        <w:t>o</w:t>
      </w:r>
      <w:r>
        <w:t xml:space="preserve">C, continuous duty. </w:t>
      </w:r>
    </w:p>
    <w:p>
      <w:pPr>
        <w:pStyle w:val="P38"/>
      </w:pPr>
      <w:r>
        <w:t xml:space="preserve">On liquid level applications, provide diaphragm, diaphragm material and diaphragm extension length to suit application. </w:t>
      </w:r>
    </w:p>
    <w:p>
      <w:pPr>
        <w:pStyle w:val="P38"/>
      </w:pPr>
      <w:r>
        <w:t xml:space="preserve">Process flanges and adapters on flow applications: </w:t>
      </w:r>
    </w:p>
    <w:p>
      <w:pPr>
        <w:pStyle w:val="P39"/>
      </w:pPr>
      <w:r>
        <w:t>General Purpose: 316 stainless steel</w:t>
      </w:r>
    </w:p>
    <w:p>
      <w:pPr>
        <w:pStyle w:val="P39"/>
      </w:pPr>
      <w:r>
        <w:t>Corrosive or abrasive applications: Hasteloy C-276</w:t>
      </w:r>
    </w:p>
    <w:p>
      <w:pPr>
        <w:pStyle w:val="P38"/>
      </w:pPr>
      <w:r>
        <w:t>Wetted O-rings: Viton, Glass Filled TFE, or Graphite Filled PTFE</w:t>
      </w:r>
    </w:p>
    <w:p>
      <w:pPr>
        <w:pStyle w:val="P38"/>
      </w:pPr>
      <w:r>
        <w:t>Bolts: Cadmium-plated carbon steel</w:t>
      </w:r>
    </w:p>
    <w:p>
      <w:pPr>
        <w:pStyle w:val="P38"/>
      </w:pPr>
      <w:r>
        <w:t>Isolating diaphragm &amp; Drain and vent valves:</w:t>
      </w:r>
    </w:p>
    <w:p>
      <w:pPr>
        <w:pStyle w:val="P39"/>
      </w:pPr>
      <w:r>
        <w:t>General Applications: 316 stainless steel</w:t>
      </w:r>
    </w:p>
    <w:p>
      <w:pPr>
        <w:pStyle w:val="P39"/>
      </w:pPr>
      <w:r>
        <w:t>Chlorine, corrosive or abrasive applications: Hasteloy C-276</w:t>
      </w:r>
    </w:p>
    <w:p>
      <w:pPr>
        <w:pStyle w:val="P38"/>
      </w:pPr>
      <w:r>
        <w:t>Cover O-rings: Buna-N</w:t>
      </w:r>
    </w:p>
    <w:p>
      <w:pPr>
        <w:pStyle w:val="P38"/>
      </w:pPr>
      <w:r>
        <w:t>The diaphragm seal shall have a removable bottom housing to permit the servicing of the need to refill the fill fluid.</w:t>
      </w:r>
    </w:p>
    <w:p>
      <w:pPr>
        <w:pStyle w:val="P37"/>
      </w:pPr>
      <w:bookmarkStart w:id="1" w:name="_Toc16561603"/>
      <w:r>
        <w:t>Transmitter</w:t>
      </w:r>
      <w:bookmarkEnd w:id="1"/>
    </w:p>
    <w:p>
      <w:pPr>
        <w:pStyle w:val="P38"/>
      </w:pPr>
      <w:r>
        <w:t>Provide operating range between 40 percent and 80 percent of maximum adjustable range.</w:t>
      </w:r>
    </w:p>
    <w:p>
      <w:pPr>
        <w:pStyle w:val="P38"/>
      </w:pPr>
      <w:r>
        <w:t>Internal security switch preventing unauthorized changes to calibrated configuration.</w:t>
      </w:r>
    </w:p>
    <w:p>
      <w:pPr>
        <w:pStyle w:val="P38"/>
      </w:pPr>
      <w:r>
        <w:t>Explosion proof (hazard area) rated instrument enclosure may be required depending upon installation location.</w:t>
      </w:r>
    </w:p>
    <w:p>
      <w:pPr>
        <w:pStyle w:val="P38"/>
      </w:pPr>
      <w:r>
        <w:t xml:space="preserve">24 VDC loop powered with 4-20 mA @ 600 Ω output with superimposed digital signal based on HART protocol.  Linear or square root output field selectable.</w:t>
      </w:r>
    </w:p>
    <w:p>
      <w:pPr>
        <w:pStyle w:val="P38"/>
      </w:pPr>
      <w:r>
        <w:t xml:space="preserve">Equipment tag wired to transmitter in accordance with </w:t>
      </w:r>
      <w:r>
        <w:rPr>
          <w:highlight w:val="yellow"/>
        </w:rPr>
        <w:t>Section 01080 – Process Equipment Location Tagging</w:t>
      </w:r>
      <w:r>
        <w:t>.</w:t>
      </w:r>
    </w:p>
    <w:p>
      <w:pPr>
        <w:pStyle w:val="P38"/>
      </w:pPr>
      <w:r>
        <w:t>Buttons for calibration and configuration without HART modem.</w:t>
      </w:r>
    </w:p>
    <w:p>
      <w:pPr>
        <w:pStyle w:val="P36"/>
      </w:pPr>
      <w:bookmarkStart w:id="2" w:name="_Toc15372463"/>
      <w:bookmarkStart w:id="3" w:name="_Toc16561604"/>
      <w:r>
        <w:t>INSTALLATION</w:t>
      </w:r>
      <w:bookmarkEnd w:id="2"/>
      <w:bookmarkEnd w:id="3"/>
    </w:p>
    <w:p>
      <w:pPr>
        <w:pStyle w:val="P37"/>
      </w:pPr>
      <w:bookmarkStart w:id="4" w:name="_Toc15372464"/>
      <w:bookmarkStart w:id="5" w:name="_Toc16561605"/>
      <w:r>
        <w:t>General</w:t>
      </w:r>
      <w:bookmarkEnd w:id="4"/>
      <w:bookmarkEnd w:id="5"/>
    </w:p>
    <w:p>
      <w:pPr>
        <w:pStyle w:val="P38"/>
        <w:numPr>
          <w:ilvl w:val="2"/>
          <w:numId w:val="19"/>
        </w:numPr>
        <w:tabs>
          <w:tab w:val="clear" w:pos="720" w:leader="none"/>
        </w:tabs>
        <w:ind w:hanging="720" w:left="1440"/>
      </w:pPr>
      <w:r>
        <w:t>The following installation requirements are in addition to or deviations from the requirements set forth for instrumentation in Section 13105 – Process Control: General Instrumentation Standard.</w:t>
      </w:r>
    </w:p>
    <w:p>
      <w:pPr>
        <w:pStyle w:val="P39"/>
      </w:pPr>
      <w:r>
        <w:t>Provide universal mounting bracket for handrail or vertical surface or 50 mm (2 inch) pipe.</w:t>
      </w:r>
    </w:p>
    <w:p>
      <w:pPr>
        <w:pStyle w:val="P39"/>
      </w:pPr>
      <w:r>
        <w:t>Provide stainless steel valve manifold assembly with line shutoff valves for pressure, c/w calibration port.</w:t>
      </w:r>
    </w:p>
    <w:p>
      <w:pPr>
        <w:pStyle w:val="P39"/>
      </w:pPr>
      <w:r>
        <w:t>Locate such that indicator display is readily readable at 1.8 m from floor elevation.</w:t>
      </w:r>
    </w:p>
    <w:p>
      <w:pPr>
        <w:pStyle w:val="P39"/>
      </w:pPr>
      <w:r>
        <w:t>Locate transmitter with adequate clearance and accessibility for service.</w:t>
      </w:r>
    </w:p>
    <w:p>
      <w:pPr>
        <w:pStyle w:val="P39"/>
      </w:pPr>
      <w:r>
        <w:t>Locate transmitter as close as possible to the process connection.</w:t>
      </w:r>
    </w:p>
    <w:p>
      <w:pPr>
        <w:pStyle w:val="P39"/>
      </w:pPr>
      <w:r>
        <w:t>Connect unit to liquid process lines horizontally. Slope lines 8 cm/meter (1 in/foot) downward to allow gas bubbles to bleed back to the process line.</w:t>
      </w:r>
    </w:p>
    <w:p>
      <w:pPr>
        <w:pStyle w:val="P39"/>
      </w:pPr>
      <w:r>
        <w:t>Connect unit to gaseous process lines at the top of pipes or tanks to minimize moisture or solids entry to sensing line.</w:t>
      </w:r>
    </w:p>
    <w:p>
      <w:pPr>
        <w:pStyle w:val="P39"/>
      </w:pPr>
      <w:r>
        <w:t>Provide for air or water flushing lines where contaminant fouling may occur.</w:t>
      </w:r>
    </w:p>
    <w:p>
      <w:pPr>
        <w:pStyle w:val="P39"/>
      </w:pPr>
      <w:r>
        <w:t>Provide filled diaphragm seals for severe process fluids where contamination or fouling will occur.</w:t>
      </w:r>
    </w:p>
    <w:p>
      <w:pPr>
        <w:pStyle w:val="P39"/>
      </w:pPr>
      <w:r>
        <w:t>Provide a local pressure gauge for gauge pressure and absolute pressure applications.</w:t>
      </w:r>
    </w:p>
    <w:p>
      <w:pPr>
        <w:pStyle w:val="P39"/>
      </w:pPr>
      <w:r>
        <w:t xml:space="preserve">Transmitter/Electronics not mounted/installed indoors must be installed within fiberglass enclosure with viewing window, thermostat and heater.  Panel heater to be powered from separate circuit than instrument.</w:t>
      </w:r>
    </w:p>
    <w:p>
      <w:pPr>
        <w:pStyle w:val="P36"/>
      </w:pPr>
      <w:bookmarkStart w:id="6" w:name="_Toc16568127"/>
      <w:bookmarkStart w:id="7" w:name="_Toc16561606"/>
      <w:r>
        <w:t>ACCEPTABLE MANUFACTURERS</w:t>
      </w:r>
      <w:bookmarkEnd w:id="6"/>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 xml:space="preserve">Preference </w:t>
            </w:r>
          </w:p>
        </w:tc>
        <w:tc>
          <w:tcPr>
            <w:tcW w:w="472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Manufacturer</w:t>
            </w:r>
          </w:p>
        </w:tc>
        <w:tc>
          <w:tcPr>
            <w:tcW w:w="220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Model</w:t>
            </w:r>
          </w:p>
        </w:tc>
      </w:tr>
      <w:tr>
        <w:trPr>
          <w:wAfter w:w="0" w:type="dxa"/>
        </w:trPr>
        <w:tc>
          <w:tcPr>
            <w:tcW w:w="2448" w:type="dxa"/>
            <w:tcBorders>
              <w:top w:val="single" w:sz="18" w:space="0" w:shadow="0" w:frame="0" w:color="000000"/>
            </w:tcBorders>
          </w:tcPr>
          <w:p>
            <w:pPr>
              <w:pStyle w:val="P39"/>
              <w:numPr>
                <w:ilvl w:val="3"/>
                <w:numId w:val="0"/>
              </w:numPr>
              <w:ind w:left="180"/>
            </w:pPr>
            <w:r>
              <w:t>1</w:t>
            </w:r>
          </w:p>
        </w:tc>
        <w:tc>
          <w:tcPr>
            <w:tcW w:w="4723" w:type="dxa"/>
            <w:tcBorders>
              <w:top w:val="single" w:sz="18" w:space="0" w:shadow="0" w:frame="0" w:color="000000"/>
            </w:tcBorders>
          </w:tcPr>
          <w:p>
            <w:pPr>
              <w:pStyle w:val="P39"/>
              <w:numPr>
                <w:ilvl w:val="3"/>
                <w:numId w:val="0"/>
              </w:numPr>
              <w:ind w:left="180"/>
            </w:pPr>
            <w:r>
              <w:t>Endress+Hauser</w:t>
            </w:r>
          </w:p>
        </w:tc>
        <w:tc>
          <w:tcPr>
            <w:tcW w:w="2207" w:type="dxa"/>
            <w:tcBorders>
              <w:top w:val="single" w:sz="18" w:space="0" w:shadow="0" w:frame="0" w:color="000000"/>
            </w:tcBorders>
          </w:tcPr>
          <w:p>
            <w:pPr>
              <w:pStyle w:val="P39"/>
              <w:numPr>
                <w:ilvl w:val="3"/>
                <w:numId w:val="0"/>
              </w:numPr>
              <w:ind w:left="180"/>
            </w:pPr>
            <w:r>
              <w:t>CERABAR S</w:t>
            </w:r>
          </w:p>
        </w:tc>
      </w:tr>
      <w:tr>
        <w:trPr>
          <w:wAfter w:w="0" w:type="dxa"/>
        </w:trPr>
        <w:tc>
          <w:tcPr>
            <w:tcW w:w="2448" w:type="dxa"/>
          </w:tcPr>
          <w:p>
            <w:pPr>
              <w:pStyle w:val="P39"/>
              <w:numPr>
                <w:ilvl w:val="3"/>
                <w:numId w:val="0"/>
              </w:numPr>
              <w:ind w:left="180"/>
            </w:pPr>
            <w:r>
              <w:t>2</w:t>
            </w:r>
          </w:p>
        </w:tc>
        <w:tc>
          <w:tcPr>
            <w:tcW w:w="4723" w:type="dxa"/>
          </w:tcPr>
          <w:p>
            <w:pPr>
              <w:pStyle w:val="P39"/>
              <w:numPr>
                <w:ilvl w:val="3"/>
                <w:numId w:val="0"/>
              </w:numPr>
              <w:ind w:left="180"/>
            </w:pPr>
            <w:r>
              <w:t>Siemens</w:t>
            </w:r>
          </w:p>
        </w:tc>
        <w:tc>
          <w:tcPr>
            <w:tcW w:w="2207" w:type="dxa"/>
          </w:tcPr>
          <w:p>
            <w:pPr>
              <w:pStyle w:val="P39"/>
              <w:numPr>
                <w:ilvl w:val="3"/>
                <w:numId w:val="0"/>
              </w:numPr>
              <w:ind w:left="180"/>
            </w:pPr>
            <w:r>
              <w:t>SITRANS P</w:t>
            </w:r>
          </w:p>
        </w:tc>
      </w:tr>
      <w:tr>
        <w:trPr>
          <w:wAfter w:w="0" w:type="dxa"/>
        </w:trPr>
        <w:tc>
          <w:tcPr>
            <w:tcW w:w="2448" w:type="dxa"/>
          </w:tcPr>
          <w:p>
            <w:pPr>
              <w:pStyle w:val="P39"/>
              <w:numPr>
                <w:ilvl w:val="3"/>
                <w:numId w:val="0"/>
              </w:numPr>
              <w:ind w:left="180"/>
            </w:pPr>
            <w:r>
              <w:t>3</w:t>
            </w:r>
          </w:p>
        </w:tc>
        <w:tc>
          <w:tcPr>
            <w:tcW w:w="4723" w:type="dxa"/>
          </w:tcPr>
          <w:p>
            <w:pPr>
              <w:pStyle w:val="P39"/>
              <w:numPr>
                <w:ilvl w:val="3"/>
                <w:numId w:val="0"/>
              </w:numPr>
              <w:ind w:left="180"/>
            </w:pPr>
          </w:p>
        </w:tc>
        <w:tc>
          <w:tcPr>
            <w:tcW w:w="2207" w:type="dxa"/>
          </w:tcPr>
          <w:p>
            <w:pPr>
              <w:pStyle w:val="P39"/>
              <w:numPr>
                <w:ilvl w:val="3"/>
                <w:numId w:val="0"/>
              </w:numPr>
              <w:ind w:left="180"/>
            </w:pPr>
          </w:p>
        </w:tc>
      </w:tr>
    </w:tbl>
    <w:p>
      <w:pPr>
        <w:pStyle w:val="P38"/>
        <w:numPr>
          <w:ilvl w:val="2"/>
          <w:numId w:val="0"/>
        </w:numPr>
        <w:ind w:left="720"/>
      </w:pPr>
    </w:p>
    <w:p>
      <w:pPr>
        <w:pStyle w:val="P38"/>
      </w:pPr>
      <w:bookmarkEnd w:id="7"/>
      <w:bookmarkStart w:id="8" w:name="_Toc16561607"/>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t>Gauge Pressure Transmitters</w:t>
      </w:r>
      <w:bookmarkEnd w:id="8"/>
    </w:p>
    <w:p>
      <w:pPr>
        <w:pStyle w:val="P4"/>
        <w:rPr>
          <w:rFonts w:ascii="Calibri" w:hAnsi="Calibri"/>
        </w:rPr>
      </w:pPr>
      <w:r>
        <w:rPr>
          <w:rFonts w:ascii="Calibri" w:hAnsi="Calibri"/>
        </w:rPr>
        <w:t>First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13200x, 13150x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r>
              <w:rPr>
                <w:rFonts w:ascii="Calibri" w:hAnsi="Calibri"/>
                <w:b w:val="1"/>
                <w:u w:val="single"/>
              </w:rPr>
              <w: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310"/>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CSA IS, Class I, II, III Division 1, Groups A-G, Class 1 Division 2, Groups A-D, Ex ia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Operation:</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 mA HART, Operation Outside, LCD</w:t>
            </w:r>
          </w:p>
        </w:tc>
      </w:tr>
      <w:tr>
        <w:trPr>
          <w:wAfter w:w="0" w:type="dxa"/>
          <w:trHeight w:hRule="exact" w:val="576"/>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Hosing, Cable Entry, Protection:</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T14 Housing, Optional Display on the Side, IP 66/67/NEMA4X/6P, Thread ½ NPT</w:t>
            </w:r>
          </w:p>
        </w:tc>
      </w:tr>
      <w:tr>
        <w:trPr>
          <w:wAfter w:w="0" w:type="dxa"/>
          <w:trHeight w:hRule="exact" w:val="540"/>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Sensor Range, Sensor Overload Limit: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Sensor Nominal Value (URL):10bar/1MPa/150psi g</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OPL (Over Pressure Limit): 40bar/4MPa/600psi g</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Sensor Range; kPa/MPa</w:t>
            </w:r>
          </w:p>
        </w:tc>
      </w:tr>
      <w:tr>
        <w:trPr>
          <w:wAfter w:w="0" w:type="dxa"/>
          <w:trHeight w:hRule="exact" w:val="28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 Material: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Thread ANSI ½ MNPT ¼ FNPT, AISI 316L (CRN)</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FKM Viton</w:t>
            </w:r>
          </w:p>
        </w:tc>
      </w:tr>
      <w:tr>
        <w:trPr>
          <w:wAfter w:w="0" w:type="dxa"/>
          <w:trHeight w:hRule="exact" w:val="274"/>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1:</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Not Selected</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2:</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Mounting Bracket for Wall/Pipe, AISI 304</w:t>
            </w:r>
          </w:p>
        </w:tc>
      </w:tr>
      <w:tr>
        <w:trPr>
          <w:wAfter w:w="0" w:type="dxa"/>
          <w:trHeight w:hRule="exact" w:val="28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w:t>
            </w:r>
            <w:r>
              <w:rPr>
                <w:rFonts w:ascii="Calibri" w:hAnsi="Calibri"/>
                <w:i w:val="1"/>
                <w:color w:val="000000"/>
                <w:highlight w:val="yellow"/>
              </w:rPr>
              <w:t>dditional added a</w:t>
            </w:r>
            <w:r>
              <w:rPr>
                <w:rFonts w:ascii="Calibri" w:hAnsi="Calibri"/>
                <w:i w:val="1"/>
                <w:color w:val="000000"/>
                <w:highlight w:val="yellow"/>
              </w:rPr>
              <w:t>s necessary</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954" w:type="dxa"/>
            <w:vAlign w:val="center"/>
          </w:tcPr>
          <w:p>
            <w:pPr>
              <w:jc w:val="center"/>
              <w:rPr>
                <w:rFonts w:ascii="Calibri" w:hAnsi="Calibri"/>
                <w:color w:val="000000"/>
              </w:rPr>
            </w:pPr>
            <w:r>
              <w:rPr>
                <w:rFonts w:ascii="Calibri" w:hAnsi="Calibri"/>
                <w:color w:val="000000"/>
              </w:rPr>
              <w:t>E+H</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PMC71-UAC</w:t>
            </w:r>
            <w:r>
              <w:rPr>
                <w:rFonts w:ascii="Calibri" w:hAnsi="Calibri"/>
                <w:color w:val="000000"/>
                <w:highlight w:val="yellow"/>
              </w:rPr>
              <w:t>1P</w:t>
            </w:r>
            <w:r>
              <w:rPr>
                <w:rFonts w:ascii="Calibri" w:hAnsi="Calibri"/>
                <w:color w:val="000000"/>
              </w:rPr>
              <w:t>2RA</w:t>
            </w:r>
            <w:r>
              <w:rPr>
                <w:rFonts w:ascii="Calibri" w:hAnsi="Calibri"/>
                <w:color w:val="000000"/>
                <w:highlight w:val="yellow"/>
              </w:rPr>
              <w:t>A</w:t>
            </w:r>
            <w:r>
              <w:rPr>
                <w:rFonts w:ascii="Calibri" w:hAnsi="Calibri"/>
                <w:color w:val="000000"/>
              </w:rPr>
              <w:t>AU</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u w:val="single"/>
              </w:rPr>
              <w:t>Access</w:t>
            </w:r>
            <w:r>
              <w:rPr>
                <w:rFonts w:ascii="Calibri" w:hAnsi="Calibri"/>
                <w:b w:val="1"/>
                <w:u w:val="single"/>
              </w:rPr>
              <w:t>ories</w:t>
            </w:r>
            <w:r>
              <w:rPr>
                <w:rFonts w:ascii="Calibri" w:hAnsi="Calibri"/>
                <w:color w:val="000000"/>
              </w:rPr>
              <w: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576"/>
        </w:trPr>
        <w:tc>
          <w:tcPr>
            <w:tcW w:w="2824" w:type="dxa"/>
            <w:tcBorders>
              <w:top w:val="single" w:sz="6" w:space="0" w:shadow="0" w:frame="0"/>
              <w:bottom w:val="double" w:sz="6" w:space="0" w:shadow="0" w:frame="0"/>
            </w:tcBorders>
            <w:shd w:val="clear" w:color="auto" w:fill="E6E6E6"/>
            <w:vAlign w:val="center"/>
          </w:tcPr>
          <w:p>
            <w:pPr>
              <w:jc w:val="right"/>
              <w:rPr>
                <w:rFonts w:ascii="Calibri" w:hAnsi="Calibri"/>
                <w:b w:val="1"/>
                <w:u w:val="single"/>
              </w:rPr>
            </w:pPr>
            <w:r>
              <w:rPr>
                <w:rFonts w:ascii="Calibri" w:hAnsi="Calibri"/>
                <w:color w:val="000000"/>
              </w:rPr>
              <w:t>316 SS Block &amp; Bleed Valve with Teflon Packing:</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7103610</w:t>
            </w:r>
          </w:p>
        </w:tc>
      </w:tr>
    </w:tbl>
    <w:p>
      <w:pPr>
        <w:pStyle w:val="P20"/>
        <w:spacing w:before="240"/>
        <w:jc w:val="center"/>
        <w:rPr>
          <w:rFonts w:ascii="Calibri" w:hAnsi="Calibri"/>
          <w:b w:val="1"/>
          <w:sz w:val="22"/>
        </w:rPr>
      </w:pPr>
    </w:p>
    <w:p>
      <w:pPr>
        <w:pStyle w:val="P4"/>
        <w:rPr>
          <w:rFonts w:ascii="Calibri" w:hAnsi="Calibri"/>
        </w:rPr>
      </w:pPr>
      <w:r>
        <w:rPr>
          <w:rFonts w:ascii="Calibri" w:hAnsi="Calibri"/>
        </w:rPr>
        <w:br w:type="page"/>
        <w:t>Second Named Manufacturer</w:t>
      </w:r>
    </w:p>
    <w:tbl>
      <w:tblPr>
        <w:tblStyle w:val="T2"/>
        <w:tblW w:w="8919"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533"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386"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386"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13200x,13150x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w:t>
            </w:r>
            <w:r>
              <w:rPr>
                <w:rFonts w:ascii="Calibri" w:hAnsi="Calibri"/>
                <w:b w:val="1"/>
                <w:u w:val="single"/>
              </w:rPr>
              <w:t xml:space="preserve"> Data</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Span: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53 – 1600 kPa (0.53 – 16 bar)</w:t>
            </w:r>
          </w:p>
        </w:tc>
      </w:tr>
      <w:tr>
        <w:trPr>
          <w:wAfter w:w="0" w:type="dxa"/>
          <w:trHeight w:hRule="exact" w:val="576"/>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Wetted Parts Material – Seal Diaphragm:</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304"/>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Wetted Parts Material – Parts of Measuring Cell:</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Female Thread ½-14 NPT</w:t>
            </w:r>
          </w:p>
        </w:tc>
      </w:tr>
      <w:tr>
        <w:trPr>
          <w:wAfter w:w="0" w:type="dxa"/>
          <w:trHeight w:hRule="exact" w:val="34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Non-Wetted Parts Materials:</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Housing Diecast Aluminum</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Explosion Protection: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Without Explosion Protection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Connection/Cable Inlet: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Screwed Gland ½-14 NPT</w:t>
            </w:r>
          </w:p>
        </w:tc>
      </w:tr>
      <w:tr>
        <w:trPr>
          <w:wAfter w:w="0" w:type="dxa"/>
          <w:trHeight w:hRule="exact" w:val="344"/>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Indicator:</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Housing Cover with Window and Digital Display</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Further Desig</w:t>
            </w:r>
            <w:r>
              <w:rPr>
                <w:rFonts w:ascii="Calibri" w:hAnsi="Calibri"/>
                <w:b w:val="1"/>
                <w:u w:val="single"/>
              </w:rPr>
              <w:t>ns</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576"/>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Transmitter with Mounting Bracket Made of:</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386" w:type="dxa"/>
            <w:vAlign w:val="center"/>
          </w:tcPr>
          <w:p>
            <w:pPr>
              <w:jc w:val="center"/>
              <w:rPr>
                <w:rFonts w:ascii="Calibri" w:hAnsi="Calibri"/>
                <w:color w:val="000000"/>
              </w:rPr>
            </w:pPr>
            <w:r>
              <w:rPr>
                <w:rFonts w:ascii="Calibri" w:hAnsi="Calibri"/>
                <w:color w:val="000000"/>
              </w:rPr>
              <w:t>Siemens</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386" w:type="dxa"/>
            <w:vAlign w:val="center"/>
          </w:tcPr>
          <w:p>
            <w:pPr>
              <w:jc w:val="center"/>
              <w:rPr>
                <w:rFonts w:ascii="Calibri" w:hAnsi="Calibri"/>
                <w:color w:val="000000"/>
              </w:rPr>
            </w:pPr>
            <w:r>
              <w:rPr>
                <w:rFonts w:ascii="Calibri" w:hAnsi="Calibri"/>
                <w:color w:val="000000"/>
              </w:rPr>
              <w:t>7MF4013-1</w:t>
            </w:r>
            <w:r>
              <w:rPr>
                <w:rFonts w:ascii="Calibri" w:hAnsi="Calibri"/>
                <w:color w:val="000000"/>
                <w:highlight w:val="yellow"/>
              </w:rPr>
              <w:t>D</w:t>
            </w:r>
            <w:r>
              <w:rPr>
                <w:rFonts w:ascii="Calibri" w:hAnsi="Calibri"/>
                <w:color w:val="000000"/>
              </w:rPr>
              <w:t>A10-1AC6Z-A02</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Accessories</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Double Shut Off Valve Manifold:</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7MF9011-4FA</w:t>
            </w:r>
          </w:p>
        </w:tc>
      </w:tr>
      <w:tr>
        <w:trPr>
          <w:wAfter w:w="0" w:type="dxa"/>
          <w:trHeight w:hRule="exact" w:val="288"/>
        </w:trPr>
        <w:tc>
          <w:tcPr>
            <w:tcW w:w="3533" w:type="dxa"/>
            <w:tcBorders>
              <w:top w:val="single" w:sz="6" w:space="0" w:shadow="0" w:frame="0"/>
              <w:bottom w:val="doub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GAUGE </w:t>
    </w:r>
    <w:r>
      <w:rPr>
        <w:rFonts w:ascii="Arial" w:hAnsi="Arial"/>
        <w:b w:val="1"/>
      </w:rPr>
      <w:t>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 xml:space="preserve">GAUGE </w:t>
    </w:r>
    <w:r>
      <w:rPr>
        <w:rFonts w:ascii="Calibri (Body)" w:hAnsi="Calibri (Body)"/>
        <w:b w:val="1"/>
        <w:sz w:val="22"/>
      </w:rPr>
      <w:t>PRESSURE TRANSMITTER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GA</w:t>
    </w:r>
    <w:r>
      <w:rPr>
        <w:rFonts w:ascii="Calibri (Body)" w:hAnsi="Calibri (Body)"/>
        <w:b w:val="1"/>
        <w:sz w:val="22"/>
      </w:rPr>
      <w:t>UGE PRE</w:t>
    </w:r>
    <w:r>
      <w:rPr>
        <w:rFonts w:ascii="Calibri (Body)" w:hAnsi="Calibri (Body)"/>
        <w:b w:val="1"/>
        <w:sz w:val="22"/>
      </w:rPr>
      <w:t>SSURE TRANSMITTER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423D6D4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551B3719">
      <w:start w:val="1"/>
      <w:numFmt w:val="bullet"/>
      <w:suff w:val="tab"/>
      <w:lvlText w:val="o"/>
      <w:lvlJc w:val="left"/>
      <w:pPr>
        <w:ind w:hanging="360" w:left="5333"/>
        <w:tabs>
          <w:tab w:val="left" w:pos="5333" w:leader="none"/>
        </w:tabs>
      </w:pPr>
      <w:rPr>
        <w:rFonts w:ascii="Courier New" w:hAnsi="Courier New"/>
      </w:rPr>
    </w:lvl>
    <w:lvl w:ilvl="2" w:tplc="268D3E47">
      <w:start w:val="1"/>
      <w:numFmt w:val="bullet"/>
      <w:suff w:val="tab"/>
      <w:lvlText w:val=""/>
      <w:lvlJc w:val="left"/>
      <w:pPr>
        <w:ind w:hanging="360" w:left="6053"/>
        <w:tabs>
          <w:tab w:val="left" w:pos="6053" w:leader="none"/>
        </w:tabs>
      </w:pPr>
      <w:rPr>
        <w:rFonts w:ascii="Wingdings" w:hAnsi="Wingdings"/>
      </w:rPr>
    </w:lvl>
    <w:lvl w:ilvl="3" w:tplc="1FD97A7F">
      <w:start w:val="1"/>
      <w:numFmt w:val="bullet"/>
      <w:suff w:val="tab"/>
      <w:lvlText w:val=""/>
      <w:lvlJc w:val="left"/>
      <w:pPr>
        <w:ind w:hanging="360" w:left="6773"/>
        <w:tabs>
          <w:tab w:val="left" w:pos="6773" w:leader="none"/>
        </w:tabs>
      </w:pPr>
      <w:rPr>
        <w:rFonts w:ascii="Symbol" w:hAnsi="Symbol"/>
      </w:rPr>
    </w:lvl>
    <w:lvl w:ilvl="4" w:tplc="0E189571">
      <w:start w:val="1"/>
      <w:numFmt w:val="bullet"/>
      <w:suff w:val="tab"/>
      <w:lvlText w:val="o"/>
      <w:lvlJc w:val="left"/>
      <w:pPr>
        <w:ind w:hanging="360" w:left="7493"/>
        <w:tabs>
          <w:tab w:val="left" w:pos="7493" w:leader="none"/>
        </w:tabs>
      </w:pPr>
      <w:rPr>
        <w:rFonts w:ascii="Courier New" w:hAnsi="Courier New"/>
      </w:rPr>
    </w:lvl>
    <w:lvl w:ilvl="5" w:tplc="041A47CD">
      <w:start w:val="1"/>
      <w:numFmt w:val="bullet"/>
      <w:suff w:val="tab"/>
      <w:lvlText w:val=""/>
      <w:lvlJc w:val="left"/>
      <w:pPr>
        <w:ind w:hanging="360" w:left="8213"/>
        <w:tabs>
          <w:tab w:val="left" w:pos="8213" w:leader="none"/>
        </w:tabs>
      </w:pPr>
      <w:rPr>
        <w:rFonts w:ascii="Wingdings" w:hAnsi="Wingdings"/>
      </w:rPr>
    </w:lvl>
    <w:lvl w:ilvl="6" w:tplc="692CD564">
      <w:start w:val="1"/>
      <w:numFmt w:val="bullet"/>
      <w:suff w:val="tab"/>
      <w:lvlText w:val=""/>
      <w:lvlJc w:val="left"/>
      <w:pPr>
        <w:ind w:hanging="360" w:left="8933"/>
        <w:tabs>
          <w:tab w:val="left" w:pos="8933" w:leader="none"/>
        </w:tabs>
      </w:pPr>
      <w:rPr>
        <w:rFonts w:ascii="Symbol" w:hAnsi="Symbol"/>
      </w:rPr>
    </w:lvl>
    <w:lvl w:ilvl="7" w:tplc="569C59E4">
      <w:start w:val="1"/>
      <w:numFmt w:val="bullet"/>
      <w:suff w:val="tab"/>
      <w:lvlText w:val="o"/>
      <w:lvlJc w:val="left"/>
      <w:pPr>
        <w:ind w:hanging="360" w:left="9653"/>
        <w:tabs>
          <w:tab w:val="left" w:pos="9653" w:leader="none"/>
        </w:tabs>
      </w:pPr>
      <w:rPr>
        <w:rFonts w:ascii="Courier New" w:hAnsi="Courier New"/>
      </w:rPr>
    </w:lvl>
    <w:lvl w:ilvl="8" w:tplc="22A075AF">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5B28EEB5">
      <w:start w:val="1"/>
      <w:numFmt w:val="bullet"/>
      <w:suff w:val="tab"/>
      <w:lvlText w:val="o"/>
      <w:lvlJc w:val="left"/>
      <w:pPr>
        <w:ind w:hanging="360" w:left="2268"/>
        <w:tabs>
          <w:tab w:val="left" w:pos="2268" w:leader="none"/>
        </w:tabs>
      </w:pPr>
      <w:rPr>
        <w:rFonts w:ascii="Courier New" w:hAnsi="Courier New"/>
      </w:rPr>
    </w:lvl>
    <w:lvl w:ilvl="2" w:tplc="726302C5">
      <w:start w:val="1"/>
      <w:numFmt w:val="bullet"/>
      <w:suff w:val="tab"/>
      <w:lvlText w:val=""/>
      <w:lvlJc w:val="left"/>
      <w:pPr>
        <w:ind w:hanging="360" w:left="2988"/>
        <w:tabs>
          <w:tab w:val="left" w:pos="2988" w:leader="none"/>
        </w:tabs>
      </w:pPr>
      <w:rPr>
        <w:rFonts w:ascii="Wingdings" w:hAnsi="Wingdings"/>
      </w:rPr>
    </w:lvl>
    <w:lvl w:ilvl="3" w:tplc="5EC26094">
      <w:start w:val="1"/>
      <w:numFmt w:val="bullet"/>
      <w:suff w:val="tab"/>
      <w:lvlText w:val=""/>
      <w:lvlJc w:val="left"/>
      <w:pPr>
        <w:ind w:hanging="360" w:left="3708"/>
        <w:tabs>
          <w:tab w:val="left" w:pos="3708" w:leader="none"/>
        </w:tabs>
      </w:pPr>
      <w:rPr>
        <w:rFonts w:ascii="Symbol" w:hAnsi="Symbol"/>
      </w:rPr>
    </w:lvl>
    <w:lvl w:ilvl="4" w:tplc="29C5818A">
      <w:start w:val="1"/>
      <w:numFmt w:val="bullet"/>
      <w:suff w:val="tab"/>
      <w:lvlText w:val="o"/>
      <w:lvlJc w:val="left"/>
      <w:pPr>
        <w:ind w:hanging="360" w:left="4428"/>
        <w:tabs>
          <w:tab w:val="left" w:pos="4428" w:leader="none"/>
        </w:tabs>
      </w:pPr>
      <w:rPr>
        <w:rFonts w:ascii="Courier New" w:hAnsi="Courier New"/>
      </w:rPr>
    </w:lvl>
    <w:lvl w:ilvl="5" w:tplc="5D2FCC8A">
      <w:start w:val="1"/>
      <w:numFmt w:val="bullet"/>
      <w:suff w:val="tab"/>
      <w:lvlText w:val=""/>
      <w:lvlJc w:val="left"/>
      <w:pPr>
        <w:ind w:hanging="360" w:left="5148"/>
        <w:tabs>
          <w:tab w:val="left" w:pos="5148" w:leader="none"/>
        </w:tabs>
      </w:pPr>
      <w:rPr>
        <w:rFonts w:ascii="Wingdings" w:hAnsi="Wingdings"/>
      </w:rPr>
    </w:lvl>
    <w:lvl w:ilvl="6" w:tplc="68DA815C">
      <w:start w:val="1"/>
      <w:numFmt w:val="bullet"/>
      <w:suff w:val="tab"/>
      <w:lvlText w:val=""/>
      <w:lvlJc w:val="left"/>
      <w:pPr>
        <w:ind w:hanging="360" w:left="5868"/>
        <w:tabs>
          <w:tab w:val="left" w:pos="5868" w:leader="none"/>
        </w:tabs>
      </w:pPr>
      <w:rPr>
        <w:rFonts w:ascii="Symbol" w:hAnsi="Symbol"/>
      </w:rPr>
    </w:lvl>
    <w:lvl w:ilvl="7" w:tplc="6AFD34B5">
      <w:start w:val="1"/>
      <w:numFmt w:val="bullet"/>
      <w:suff w:val="tab"/>
      <w:lvlText w:val="o"/>
      <w:lvlJc w:val="left"/>
      <w:pPr>
        <w:ind w:hanging="360" w:left="6588"/>
        <w:tabs>
          <w:tab w:val="left" w:pos="6588" w:leader="none"/>
        </w:tabs>
      </w:pPr>
      <w:rPr>
        <w:rFonts w:ascii="Courier New" w:hAnsi="Courier New"/>
      </w:rPr>
    </w:lvl>
    <w:lvl w:ilvl="8" w:tplc="6369B79C">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98D1404">
      <w:start w:val="1"/>
      <w:numFmt w:val="bullet"/>
      <w:suff w:val="tab"/>
      <w:lvlText w:val="o"/>
      <w:lvlJc w:val="left"/>
      <w:pPr>
        <w:ind w:hanging="360" w:left="6709"/>
        <w:tabs>
          <w:tab w:val="left" w:pos="6709" w:leader="none"/>
        </w:tabs>
      </w:pPr>
      <w:rPr>
        <w:rFonts w:ascii="Courier New" w:hAnsi="Courier New"/>
      </w:rPr>
    </w:lvl>
    <w:lvl w:ilvl="2" w:tplc="7B29B589">
      <w:start w:val="1"/>
      <w:numFmt w:val="bullet"/>
      <w:suff w:val="tab"/>
      <w:lvlText w:val=""/>
      <w:lvlJc w:val="left"/>
      <w:pPr>
        <w:ind w:hanging="360" w:left="7429"/>
        <w:tabs>
          <w:tab w:val="left" w:pos="7429" w:leader="none"/>
        </w:tabs>
      </w:pPr>
      <w:rPr>
        <w:rFonts w:ascii="Wingdings" w:hAnsi="Wingdings"/>
      </w:rPr>
    </w:lvl>
    <w:lvl w:ilvl="3" w:tplc="685A4DA8">
      <w:start w:val="1"/>
      <w:numFmt w:val="bullet"/>
      <w:suff w:val="tab"/>
      <w:lvlText w:val=""/>
      <w:lvlJc w:val="left"/>
      <w:pPr>
        <w:ind w:hanging="360" w:left="8149"/>
        <w:tabs>
          <w:tab w:val="left" w:pos="8149" w:leader="none"/>
        </w:tabs>
      </w:pPr>
      <w:rPr>
        <w:rFonts w:ascii="Symbol" w:hAnsi="Symbol"/>
      </w:rPr>
    </w:lvl>
    <w:lvl w:ilvl="4" w:tplc="371CF247">
      <w:start w:val="1"/>
      <w:numFmt w:val="bullet"/>
      <w:suff w:val="tab"/>
      <w:lvlText w:val="o"/>
      <w:lvlJc w:val="left"/>
      <w:pPr>
        <w:ind w:hanging="360" w:left="8869"/>
        <w:tabs>
          <w:tab w:val="left" w:pos="8869" w:leader="none"/>
        </w:tabs>
      </w:pPr>
      <w:rPr>
        <w:rFonts w:ascii="Courier New" w:hAnsi="Courier New"/>
      </w:rPr>
    </w:lvl>
    <w:lvl w:ilvl="5" w:tplc="5779CB09">
      <w:start w:val="1"/>
      <w:numFmt w:val="bullet"/>
      <w:suff w:val="tab"/>
      <w:lvlText w:val=""/>
      <w:lvlJc w:val="left"/>
      <w:pPr>
        <w:ind w:hanging="360" w:left="9589"/>
        <w:tabs>
          <w:tab w:val="left" w:pos="9589" w:leader="none"/>
        </w:tabs>
      </w:pPr>
      <w:rPr>
        <w:rFonts w:ascii="Wingdings" w:hAnsi="Wingdings"/>
      </w:rPr>
    </w:lvl>
    <w:lvl w:ilvl="6" w:tplc="4754A612">
      <w:start w:val="1"/>
      <w:numFmt w:val="bullet"/>
      <w:suff w:val="tab"/>
      <w:lvlText w:val=""/>
      <w:lvlJc w:val="left"/>
      <w:pPr>
        <w:ind w:hanging="360" w:left="10309"/>
        <w:tabs>
          <w:tab w:val="left" w:pos="10309" w:leader="none"/>
        </w:tabs>
      </w:pPr>
      <w:rPr>
        <w:rFonts w:ascii="Symbol" w:hAnsi="Symbol"/>
      </w:rPr>
    </w:lvl>
    <w:lvl w:ilvl="7" w:tplc="71856BAA">
      <w:start w:val="1"/>
      <w:numFmt w:val="bullet"/>
      <w:suff w:val="tab"/>
      <w:lvlText w:val="o"/>
      <w:lvlJc w:val="left"/>
      <w:pPr>
        <w:ind w:hanging="360" w:left="11029"/>
        <w:tabs>
          <w:tab w:val="left" w:pos="11029" w:leader="none"/>
        </w:tabs>
      </w:pPr>
      <w:rPr>
        <w:rFonts w:ascii="Courier New" w:hAnsi="Courier New"/>
      </w:rPr>
    </w:lvl>
    <w:lvl w:ilvl="8" w:tplc="635C3315">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0AE20BCC">
      <w:start w:val="1"/>
      <w:numFmt w:val="bullet"/>
      <w:suff w:val="tab"/>
      <w:lvlText w:val="o"/>
      <w:lvlJc w:val="left"/>
      <w:pPr>
        <w:ind w:hanging="360" w:left="4680"/>
        <w:tabs>
          <w:tab w:val="left" w:pos="4680" w:leader="none"/>
        </w:tabs>
      </w:pPr>
      <w:rPr>
        <w:rFonts w:ascii="Courier New" w:hAnsi="Courier New"/>
      </w:rPr>
    </w:lvl>
    <w:lvl w:ilvl="2" w:tplc="7C6676C0">
      <w:start w:val="1"/>
      <w:numFmt w:val="bullet"/>
      <w:suff w:val="tab"/>
      <w:lvlText w:val=""/>
      <w:lvlJc w:val="left"/>
      <w:pPr>
        <w:ind w:hanging="360" w:left="5400"/>
        <w:tabs>
          <w:tab w:val="left" w:pos="5400" w:leader="none"/>
        </w:tabs>
      </w:pPr>
      <w:rPr>
        <w:rFonts w:ascii="Wingdings" w:hAnsi="Wingdings"/>
      </w:rPr>
    </w:lvl>
    <w:lvl w:ilvl="3" w:tplc="242C77D6">
      <w:start w:val="1"/>
      <w:numFmt w:val="bullet"/>
      <w:suff w:val="tab"/>
      <w:lvlText w:val=""/>
      <w:lvlJc w:val="left"/>
      <w:pPr>
        <w:ind w:hanging="360" w:left="6120"/>
        <w:tabs>
          <w:tab w:val="left" w:pos="6120" w:leader="none"/>
        </w:tabs>
      </w:pPr>
      <w:rPr>
        <w:rFonts w:ascii="Symbol" w:hAnsi="Symbol"/>
      </w:rPr>
    </w:lvl>
    <w:lvl w:ilvl="4" w:tplc="1C84BBF5">
      <w:start w:val="1"/>
      <w:numFmt w:val="bullet"/>
      <w:suff w:val="tab"/>
      <w:lvlText w:val="o"/>
      <w:lvlJc w:val="left"/>
      <w:pPr>
        <w:ind w:hanging="360" w:left="6840"/>
        <w:tabs>
          <w:tab w:val="left" w:pos="6840" w:leader="none"/>
        </w:tabs>
      </w:pPr>
      <w:rPr>
        <w:rFonts w:ascii="Courier New" w:hAnsi="Courier New"/>
      </w:rPr>
    </w:lvl>
    <w:lvl w:ilvl="5" w:tplc="637DD0EA">
      <w:start w:val="1"/>
      <w:numFmt w:val="bullet"/>
      <w:suff w:val="tab"/>
      <w:lvlText w:val=""/>
      <w:lvlJc w:val="left"/>
      <w:pPr>
        <w:ind w:hanging="360" w:left="7560"/>
        <w:tabs>
          <w:tab w:val="left" w:pos="7560" w:leader="none"/>
        </w:tabs>
      </w:pPr>
      <w:rPr>
        <w:rFonts w:ascii="Wingdings" w:hAnsi="Wingdings"/>
      </w:rPr>
    </w:lvl>
    <w:lvl w:ilvl="6" w:tplc="5167E6E0">
      <w:start w:val="1"/>
      <w:numFmt w:val="bullet"/>
      <w:suff w:val="tab"/>
      <w:lvlText w:val=""/>
      <w:lvlJc w:val="left"/>
      <w:pPr>
        <w:ind w:hanging="360" w:left="8280"/>
        <w:tabs>
          <w:tab w:val="left" w:pos="8280" w:leader="none"/>
        </w:tabs>
      </w:pPr>
      <w:rPr>
        <w:rFonts w:ascii="Symbol" w:hAnsi="Symbol"/>
      </w:rPr>
    </w:lvl>
    <w:lvl w:ilvl="7" w:tplc="33D372CE">
      <w:start w:val="1"/>
      <w:numFmt w:val="bullet"/>
      <w:suff w:val="tab"/>
      <w:lvlText w:val="o"/>
      <w:lvlJc w:val="left"/>
      <w:pPr>
        <w:ind w:hanging="360" w:left="9000"/>
        <w:tabs>
          <w:tab w:val="left" w:pos="9000" w:leader="none"/>
        </w:tabs>
      </w:pPr>
      <w:rPr>
        <w:rFonts w:ascii="Courier New" w:hAnsi="Courier New"/>
      </w:rPr>
    </w:lvl>
    <w:lvl w:ilvl="8" w:tplc="7ABEFFA5">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3A4DC189">
      <w:start w:val="1"/>
      <w:numFmt w:val="bullet"/>
      <w:suff w:val="tab"/>
      <w:lvlText w:val="o"/>
      <w:lvlJc w:val="left"/>
      <w:pPr>
        <w:ind w:hanging="360" w:left="5989"/>
        <w:tabs>
          <w:tab w:val="left" w:pos="5989" w:leader="none"/>
        </w:tabs>
      </w:pPr>
      <w:rPr>
        <w:rFonts w:ascii="Courier New" w:hAnsi="Courier New"/>
      </w:rPr>
    </w:lvl>
    <w:lvl w:ilvl="2" w:tplc="44F588B9">
      <w:start w:val="1"/>
      <w:numFmt w:val="bullet"/>
      <w:suff w:val="tab"/>
      <w:lvlText w:val=""/>
      <w:lvlJc w:val="left"/>
      <w:pPr>
        <w:ind w:hanging="360" w:left="6709"/>
        <w:tabs>
          <w:tab w:val="left" w:pos="6709" w:leader="none"/>
        </w:tabs>
      </w:pPr>
      <w:rPr>
        <w:rFonts w:ascii="Wingdings" w:hAnsi="Wingdings"/>
      </w:rPr>
    </w:lvl>
    <w:lvl w:ilvl="3" w:tplc="7619EE78">
      <w:start w:val="1"/>
      <w:numFmt w:val="bullet"/>
      <w:suff w:val="tab"/>
      <w:lvlText w:val=""/>
      <w:lvlJc w:val="left"/>
      <w:pPr>
        <w:ind w:hanging="360" w:left="7429"/>
        <w:tabs>
          <w:tab w:val="left" w:pos="7429" w:leader="none"/>
        </w:tabs>
      </w:pPr>
      <w:rPr>
        <w:rFonts w:ascii="Symbol" w:hAnsi="Symbol"/>
      </w:rPr>
    </w:lvl>
    <w:lvl w:ilvl="4" w:tplc="695A11E8">
      <w:start w:val="1"/>
      <w:numFmt w:val="bullet"/>
      <w:suff w:val="tab"/>
      <w:lvlText w:val="o"/>
      <w:lvlJc w:val="left"/>
      <w:pPr>
        <w:ind w:hanging="360" w:left="8149"/>
        <w:tabs>
          <w:tab w:val="left" w:pos="8149" w:leader="none"/>
        </w:tabs>
      </w:pPr>
      <w:rPr>
        <w:rFonts w:ascii="Courier New" w:hAnsi="Courier New"/>
      </w:rPr>
    </w:lvl>
    <w:lvl w:ilvl="5" w:tplc="5ECC198B">
      <w:start w:val="1"/>
      <w:numFmt w:val="bullet"/>
      <w:suff w:val="tab"/>
      <w:lvlText w:val=""/>
      <w:lvlJc w:val="left"/>
      <w:pPr>
        <w:ind w:hanging="360" w:left="8869"/>
        <w:tabs>
          <w:tab w:val="left" w:pos="8869" w:leader="none"/>
        </w:tabs>
      </w:pPr>
      <w:rPr>
        <w:rFonts w:ascii="Wingdings" w:hAnsi="Wingdings"/>
      </w:rPr>
    </w:lvl>
    <w:lvl w:ilvl="6" w:tplc="4B9BFF75">
      <w:start w:val="1"/>
      <w:numFmt w:val="bullet"/>
      <w:suff w:val="tab"/>
      <w:lvlText w:val=""/>
      <w:lvlJc w:val="left"/>
      <w:pPr>
        <w:ind w:hanging="360" w:left="9589"/>
        <w:tabs>
          <w:tab w:val="left" w:pos="9589" w:leader="none"/>
        </w:tabs>
      </w:pPr>
      <w:rPr>
        <w:rFonts w:ascii="Symbol" w:hAnsi="Symbol"/>
      </w:rPr>
    </w:lvl>
    <w:lvl w:ilvl="7" w:tplc="5D062635">
      <w:start w:val="1"/>
      <w:numFmt w:val="bullet"/>
      <w:suff w:val="tab"/>
      <w:lvlText w:val="o"/>
      <w:lvlJc w:val="left"/>
      <w:pPr>
        <w:ind w:hanging="360" w:left="10309"/>
        <w:tabs>
          <w:tab w:val="left" w:pos="10309" w:leader="none"/>
        </w:tabs>
      </w:pPr>
      <w:rPr>
        <w:rFonts w:ascii="Courier New" w:hAnsi="Courier New"/>
      </w:rPr>
    </w:lvl>
    <w:lvl w:ilvl="8" w:tplc="3B5ED131">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8"/>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7"/>
    <w:next w:val="P39"/>
    <w:qFormat/>
    <w:pPr>
      <w:numPr>
        <w:ilvl w:val="3"/>
        <w:numId w:val="3"/>
      </w:numPr>
      <w:tabs>
        <w:tab w:val="clear" w:pos="864" w:leader="none"/>
      </w:tabs>
      <w:ind w:hanging="720" w:left="2160"/>
      <w:outlineLvl w:val="3"/>
    </w:pPr>
    <w:rPr>
      <w:rFonts w:ascii="Calibri" w:hAnsi="Calibri"/>
      <w:b w:val="0"/>
    </w:rPr>
  </w:style>
  <w:style w:type="paragraph" w:styleId="P40">
    <w:name w:val="Heading 5"/>
    <w:basedOn w:val="P7"/>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7"/>
    <w:next w:val="P0"/>
    <w:pPr>
      <w:keepNext w:val="1"/>
      <w:spacing w:after="240"/>
    </w:pPr>
    <w:rPr>
      <w:b w:val="0"/>
      <w:i w:val="1"/>
      <w:sz w:val="20"/>
    </w:rPr>
  </w:style>
  <w:style w:type="paragraph" w:styleId="P43">
    <w:name w:val="Exhibit--Number"/>
    <w:basedOn w:val="P7"/>
    <w:next w:val="P50"/>
    <w:pPr>
      <w:spacing w:before="160"/>
    </w:pPr>
    <w:rPr>
      <w:caps w:val="1"/>
      <w:sz w:val="18"/>
    </w:rPr>
  </w:style>
  <w:style w:type="paragraph" w:styleId="P44">
    <w:name w:val="Title"/>
    <w:basedOn w:val="P7"/>
    <w:next w:val="P44"/>
    <w:qFormat/>
    <w:pPr>
      <w:keepNext w:val="1"/>
      <w:spacing w:before="160" w:after="30"/>
    </w:pPr>
    <w:rPr>
      <w:sz w:val="20"/>
    </w:rPr>
  </w:style>
  <w:style w:type="paragraph" w:styleId="P45">
    <w:name w:val="Table Body"/>
    <w:basedOn w:val="P12"/>
    <w:next w:val="P45"/>
    <w:pPr>
      <w:jc w:val="left"/>
    </w:pPr>
    <w:rPr>
      <w:b w:val="0"/>
    </w:rPr>
  </w:style>
  <w:style w:type="paragraph" w:styleId="P46">
    <w:name w:val="Style4"/>
    <w:basedOn w:val="P25"/>
    <w:next w:val="P46"/>
    <w:pPr>
      <w:numPr>
        <w:numId w:val="17"/>
      </w:numPr>
    </w:pPr>
    <w:rPr>
      <w:rFonts w:ascii="Courier New" w:hAnsi="Courier New"/>
    </w:rPr>
  </w:style>
  <w:style w:type="paragraph" w:styleId="P47">
    <w:name w:val="List Bullet"/>
    <w:basedOn w:val="P29"/>
    <w:next w:val="P47"/>
    <w:pPr>
      <w:numPr>
        <w:numId w:val="2"/>
      </w:numPr>
    </w:pPr>
    <w:rPr/>
  </w:style>
  <w:style w:type="paragraph" w:styleId="P48">
    <w:name w:val="TOC 2"/>
    <w:basedOn w:val="P34"/>
    <w:next w:val="P53"/>
    <w:pPr>
      <w:tabs>
        <w:tab w:val="left" w:pos="1008" w:leader="none"/>
      </w:tabs>
      <w:ind w:left="720"/>
    </w:pPr>
    <w:rPr>
      <w:b w:val="0"/>
    </w:rPr>
  </w:style>
  <w:style w:type="paragraph" w:styleId="P49">
    <w:name w:val="Contents"/>
    <w:basedOn w:val="P36"/>
    <w:next w:val="P4"/>
    <w:pPr/>
    <w:rPr/>
  </w:style>
  <w:style w:type="paragraph" w:styleId="P50">
    <w:name w:val="Exhibit--Title"/>
    <w:basedOn w:val="P43"/>
    <w:next w:val="P54"/>
    <w:pPr>
      <w:spacing w:before="0"/>
    </w:pPr>
    <w:rPr>
      <w:b w:val="1"/>
      <w:caps w:val="0"/>
      <w:sz w:val="20"/>
    </w:rPr>
  </w:style>
  <w:style w:type="paragraph" w:styleId="P51">
    <w:name w:val="Table Notes"/>
    <w:basedOn w:val="P45"/>
    <w:next w:val="P51"/>
    <w:pPr>
      <w:spacing w:after="320"/>
    </w:pPr>
    <w:rPr/>
  </w:style>
  <w:style w:type="paragraph" w:styleId="P52">
    <w:name w:val="Style9"/>
    <w:basedOn w:val="P46"/>
    <w:next w:val="P52"/>
    <w:pPr>
      <w:numPr>
        <w:numId w:val="21"/>
      </w:numPr>
      <w:tabs>
        <w:tab w:val="left" w:pos="1080" w:leader="none"/>
        <w:tab w:val="clear" w:pos="4320" w:leader="none"/>
      </w:tabs>
    </w:pPr>
    <w:rPr>
      <w:rFonts w:ascii="Book Antiqua" w:hAnsi="Book Antiqua"/>
    </w:rPr>
  </w:style>
  <w:style w:type="paragraph" w:styleId="P53">
    <w:name w:val="TOC 3"/>
    <w:basedOn w:val="P48"/>
    <w:next w:val="P53"/>
    <w:pPr>
      <w:tabs>
        <w:tab w:val="clear" w:pos="1008" w:leader="none"/>
        <w:tab w:val="left" w:pos="1728" w:leader="none"/>
      </w:tabs>
      <w:ind w:left="1440"/>
    </w:pPr>
    <w:rPr/>
  </w:style>
  <w:style w:type="paragraph" w:styleId="P54">
    <w:name w:val="Exhibit--Caption"/>
    <w:basedOn w:val="P50"/>
    <w:next w:val="P4"/>
    <w:pPr/>
    <w:rPr>
      <w:i w:val="1"/>
    </w:rPr>
  </w:style>
  <w:style w:type="paragraph" w:styleId="P55">
    <w:name w:val="TOC 4"/>
    <w:basedOn w:val="P53"/>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2015-04-20T14:42:00Z</dcterms:created>
  <cp:lastModifiedBy>Ray</cp:lastModifiedBy>
  <cp:lastPrinted>2009-11-26T14:49:00Z</cp:lastPrinted>
  <dcterms:modified xsi:type="dcterms:W3CDTF">2022-10-04T19:38:53Z</dcterms:modified>
  <cp:revision>9</cp:revision>
  <dc:title>13200 Gauge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