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3956C9" Type="http://schemas.openxmlformats.org/officeDocument/2006/relationships/officeDocument" Target="/word/document.xml" /><Relationship Id="coreR133956C9" Type="http://schemas.openxmlformats.org/package/2006/relationships/metadata/core-properties" Target="/docProps/core.xml" /><Relationship Id="customR133956C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47</w:t>
            </w:r>
            <w:r>
              <w:rPr>
                <w:rFonts w:ascii="Calibri" w:hAnsi="Calibri"/>
                <w:b w:val="1"/>
                <w:sz w:val="22"/>
              </w:rPr>
              <w:t>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numPr>
                <w:ilvl w:val="3"/>
                <w:numId w:val="0"/>
              </w:numPr>
            </w:pPr>
            <w:r>
              <w:t xml:space="preserve">Updated references to Standards  ASTM F1412-16, ASTM D4101-14e2, ASTM D2843-14(2015)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7"/>
              <w:numPr>
                <w:ilvl w:val="3"/>
                <w:numId w:val="0"/>
              </w:numPr>
            </w:pPr>
            <w:r>
              <w:t>Updated cited products (CDP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  <w:rPr>
          <w:rStyle w:val="C2"/>
        </w:rPr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rPr>
          <w:rStyle w:val="C2"/>
          <w:color w:val="auto"/>
          <w:u w:val="none"/>
        </w:rPr>
        <w:t>ASTM F1412-16, Standard Specification for Polyolefin Pipe and Fittings For Corrosive Waste Drainage Systems</w:t>
      </w:r>
      <w:r>
        <w:rPr>
          <w:rStyle w:val="C2"/>
          <w:color w:val="auto"/>
          <w:u w:val="none"/>
        </w:rPr>
        <w:fldChar w:fldCharType="end"/>
      </w:r>
    </w:p>
    <w:p>
      <w:pPr>
        <w:pStyle w:val="P37"/>
      </w:pPr>
      <w:r>
        <w:t xml:space="preserve">ASTM D4101-14e2, Standard Specification for Polypropylene Injection and Extrusion Materials </w:t>
      </w:r>
    </w:p>
    <w:p>
      <w:pPr>
        <w:pStyle w:val="P37"/>
      </w:pPr>
      <w:r>
        <w:t xml:space="preserve">ASTM D635-14, Standard Test Method for Rate of Burning and/or Extent and Time of Burning of Plastics in a Horizontal Position </w:t>
      </w:r>
    </w:p>
    <w:p>
      <w:pPr>
        <w:pStyle w:val="P37"/>
      </w:pPr>
      <w:r>
        <w:t>ASTM D2843-14, Standard Test Method for Density of Smoke from the Burning or Decomposition of Plastics</w:t>
      </w:r>
    </w:p>
    <w:p>
      <w:pPr>
        <w:pStyle w:val="P37"/>
      </w:pPr>
      <w:r>
        <w:t>ASTM D2657-07 (2015), Standard Practice for Heat Fusion Joining of Polyolefin Pipe and Fittings</w:t>
      </w:r>
    </w:p>
    <w:p>
      <w:pPr>
        <w:pStyle w:val="P36"/>
      </w:pPr>
      <w:r>
        <w:t>American National Standards Institute (ANSI):</w:t>
      </w:r>
    </w:p>
    <w:p>
      <w:pPr>
        <w:pStyle w:val="P37"/>
      </w:pPr>
      <w:r>
        <w:t>ANSI/ASME B16.12-2009(R2014), Cast Iron Threaded Drainage Fittings</w:t>
      </w:r>
    </w:p>
    <w:p>
      <w:pPr>
        <w:tabs>
          <w:tab w:val="left" w:pos="2880" w:leader="none"/>
        </w:tabs>
        <w:ind w:left="2880"/>
        <w:outlineLvl w:val="4"/>
        <w:rPr>
          <w:color w:val="333333"/>
        </w:rPr>
      </w:pP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78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2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6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26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Polypropylene, ASTM F1412-16, Type 1, Schedule 40; resin meeting ASTM D4101-14e2. Conforming to the requirements of ASTM D635-14, and ASTM D2843-14.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26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Polypropylene, ASTM F1412-16, Type 1, Schedule 40, socket type ends conforming to the requirements of ANSI B16.12-2009(R2014), ASTM D2657-07(2015), and ASTM D4101-14e2.</w:t>
            </w:r>
          </w:p>
        </w:tc>
      </w:tr>
      <w:tr>
        <w:trPr>
          <w:wAfter w:w="0" w:type="dxa"/>
        </w:trPr>
        <w:tc>
          <w:tcPr>
            <w:tcW w:w="1578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26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66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 type, electrically fused.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ACID-RESISTANT POLYPROPYLENE WASTE AND</w:t>
    </w:r>
    <w:r>
      <w:tab/>
      <w:t>2014-06-10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VENT 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15100-05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ACID-RESISTANT POLYPROPYLENE WASTE AND</w:t>
    </w:r>
    <w: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VENT 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15100-05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2017-08-15</w:t>
    </w:r>
    <w:r>
      <w:rPr>
        <w:b w:val="1"/>
      </w:rPr>
      <w:tab/>
      <w:t>ACID-RESISTANT POLYPROPYLENE WASTE AND</w:t>
    </w:r>
    <w: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ab/>
    </w:r>
    <w:r>
      <w:rPr>
        <w:b w:val="1"/>
      </w:rPr>
      <w:t>VENT PIPE AND FITTINGS</w:t>
    </w:r>
    <w:r>
      <w:tab/>
      <w:t xml:space="preserve">DATE:  </w:t>
    </w:r>
    <w:r>
      <w:rPr>
        <w:highlight w:val="yellow"/>
      </w:rPr>
      <w:t>[Insert Date, (e.g. Jan., 2000)]</w:t>
    </w:r>
    <w:r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A4A05A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FB61F3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699677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2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2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2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2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2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2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2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2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2017-08-17T15:14:00Z</dcterms:created>
  <cp:lastModifiedBy>Ray</cp:lastModifiedBy>
  <cp:lastPrinted>2006-06-22T14:28:00Z</cp:lastPrinted>
  <dcterms:modified xsi:type="dcterms:W3CDTF">2022-10-04T19:39:02Z</dcterms:modified>
  <cp:revision>3</cp:revision>
  <dc:title>15100-05_Acid-Resistant_Polypropylene_Waste_and_Vent_Pipe_and_Fittings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ContentTypeId">
    <vt:lpwstr>0x0101001E76F5F51B06864FADA04BB3B6DF741B</vt:lpwstr>
  </property>
  <property fmtid="{D5CDD505-2E9C-101B-9397-08002B2CF9AE}" pid="5" name="_dlc_DocId">
    <vt:lpwstr>ENVCPD-83-1394</vt:lpwstr>
  </property>
  <property fmtid="{D5CDD505-2E9C-101B-9397-08002B2CF9AE}" pid="6" name="_dlc_DocIdItemGuid">
    <vt:lpwstr>ddfaa0d0-d1cf-4353-8df8-8bbad09a7999</vt:lpwstr>
  </property>
  <property fmtid="{D5CDD505-2E9C-101B-9397-08002B2CF9AE}" pid="7" name="_dlc_DocIdUrl">
    <vt:lpwstr>https://mycloud.york.ca/projects/EnvServProgramDeliveryOffice/ProjectServer/AEL/_layouts/DocIdRedir.aspx?ID=ENVCPD-83-1394, ENVCPD-83-1394</vt:lpwstr>
  </property>
</Properties>
</file>