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8C285C" Type="http://schemas.openxmlformats.org/officeDocument/2006/relationships/officeDocument" Target="/word/document.xml" /><Relationship Id="coreR68C285C" Type="http://schemas.openxmlformats.org/package/2006/relationships/metadata/core-properties" Target="/docProps/core.xml" /><Relationship Id="customR68C285C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198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86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30, 2006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final document.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25, 2014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First draft review comments (AV)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8,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Second Draft for Review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4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September 1</w:t>
            </w:r>
            <w:r>
              <w:rPr>
                <w:rFonts w:ascii="Calibri" w:hAnsi="Calibri"/>
                <w:b w:val="1"/>
                <w:sz w:val="22"/>
              </w:rPr>
              <w:t>6</w:t>
            </w:r>
            <w:r>
              <w:rPr>
                <w:rFonts w:ascii="Calibri" w:hAnsi="Calibri"/>
                <w:b w:val="1"/>
                <w:sz w:val="22"/>
              </w:rPr>
              <w:t>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Updated, Finalized Specification – Reference eDOCS #</w:t>
            </w:r>
            <w:r>
              <w:rPr>
                <w:rFonts w:ascii="Calibri" w:hAnsi="Calibri"/>
                <w:b w:val="1"/>
                <w:sz w:val="22"/>
              </w:rPr>
              <w:t>5823649-v4 (AV)</w:t>
            </w:r>
          </w:p>
        </w:tc>
      </w:tr>
      <w:tr>
        <w:trPr>
          <w:wAfter w:w="0" w:type="dxa"/>
          <w:trHeight w:hRule="atLeast" w:val="903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May 18,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Updated Reference Standards ASTM A193/A193M-16, ASTM A194/A194M-17, ASTM A351/A351M-16, ASTM D3261-16, ASME B16.1-2015 (AAM)</w:t>
            </w:r>
          </w:p>
        </w:tc>
      </w:tr>
      <w:tr>
        <w:trPr>
          <w:wAfter w:w="0" w:type="dxa"/>
          <w:trHeight w:hRule="atLeast" w:val="228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15,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Removal of specified products (CPD PMO, OMM)</w:t>
            </w:r>
          </w:p>
        </w:tc>
      </w:tr>
    </w:tbl>
    <w:p>
      <w:pPr>
        <w:pStyle w:val="P34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4"/>
        <w:numPr>
          <w:ilvl w:val="0"/>
          <w:numId w:val="0"/>
        </w:numPr>
        <w:tabs>
          <w:tab w:val="left" w:pos="1080" w:leader="none"/>
        </w:tabs>
      </w:pPr>
    </w:p>
    <w:p>
      <w:pPr>
        <w:pStyle w:val="P35"/>
      </w:pPr>
      <w:r>
        <w:br w:type="page"/>
        <w:t>References</w:t>
      </w:r>
    </w:p>
    <w:p>
      <w:pPr>
        <w:pStyle w:val="P36"/>
      </w:pPr>
      <w:r>
        <w:t xml:space="preserve">American Society for Testing Materials (ASTM) </w:t>
      </w:r>
    </w:p>
    <w:p>
      <w:pPr>
        <w:pStyle w:val="P37"/>
      </w:pPr>
      <w:r>
        <w:t xml:space="preserve">ASTM A193/A193M-16, </w:t>
      </w:r>
      <w:r>
        <w:fldChar w:fldCharType="begin"/>
      </w:r>
      <w:r>
        <w:instrText xml:space="preserve"> HYPERLINK "http://www.astm.org/Standards/D2855.htm" </w:instrText>
      </w:r>
      <w:r>
        <w:fldChar w:fldCharType="separate"/>
      </w:r>
      <w:r>
        <w:t xml:space="preserve">Standard </w:t>
      </w:r>
      <w:r>
        <w:fldChar w:fldCharType="end"/>
      </w:r>
      <w:r>
        <w:t>Specification for Alloy-Steel and Stainless Steel Bolting for High Temperature or High Pressure Service and Other Special Purpose Applications</w:t>
      </w:r>
    </w:p>
    <w:p>
      <w:pPr>
        <w:pStyle w:val="P37"/>
      </w:pPr>
      <w:r>
        <w:t>ASTM A194/A194M-17, Standard Specification for Carbon and Alloy Steel Nuts for Bolts for High Pressure or High temperature Service, or Both</w:t>
      </w:r>
    </w:p>
    <w:p>
      <w:pPr>
        <w:pStyle w:val="P37"/>
      </w:pPr>
      <w:r>
        <w:t>ASTM A351/A351M-16, Standard Specification for Castings, Austenitic, For Pressure-Containing Parts</w:t>
      </w:r>
    </w:p>
    <w:p>
      <w:pPr>
        <w:pStyle w:val="P37"/>
      </w:pPr>
      <w:r>
        <w:t>ASTM D3261-16, Standard Specification for Butt Heat Fusion Polyethylene (PE) Plastic Fittings for Polyethylene (PE) Plastic Pipe and Tubing</w:t>
      </w:r>
    </w:p>
    <w:p>
      <w:pPr>
        <w:pStyle w:val="P37"/>
      </w:pPr>
      <w:r>
        <w:fldChar w:fldCharType="begin"/>
      </w:r>
      <w:r>
        <w:instrText xml:space="preserve"> HYPERLINK "http://www.astm.org/Standards/D2665.htm" </w:instrText>
      </w:r>
      <w:r>
        <w:fldChar w:fldCharType="separate"/>
      </w:r>
      <w:r>
        <w:t>ASTM D3350-14, Standard Specification for Polyethylene Plastics Pipe and Fittings</w:t>
      </w:r>
      <w:r>
        <w:fldChar w:fldCharType="end"/>
      </w:r>
      <w:r>
        <w:t xml:space="preserve"> Materials</w:t>
      </w:r>
    </w:p>
    <w:p>
      <w:pPr>
        <w:pStyle w:val="P37"/>
      </w:pPr>
      <w:r>
        <w:t>ASTM F714-13, Standard Specification for Polyethylene (PE) Plastic Pipe (DR-PR) Based on Outside Diameter</w:t>
      </w:r>
    </w:p>
    <w:p>
      <w:pPr>
        <w:pStyle w:val="P36"/>
      </w:pPr>
      <w:r>
        <w:t xml:space="preserve">Plastic Pipe Institute  (PPI)</w:t>
      </w:r>
    </w:p>
    <w:p>
      <w:pPr>
        <w:pStyle w:val="P37"/>
        <w:rPr>
          <w:b w:val="1"/>
        </w:rPr>
      </w:pPr>
      <w:r>
        <w:t>PPI PE 3408, pipe material designation</w:t>
      </w:r>
    </w:p>
    <w:p>
      <w:pPr>
        <w:pStyle w:val="P36"/>
      </w:pPr>
      <w:r>
        <w:t xml:space="preserve">American Water Works Association  (AWWA)</w:t>
      </w:r>
    </w:p>
    <w:p>
      <w:pPr>
        <w:pStyle w:val="P37"/>
        <w:rPr>
          <w:b w:val="1"/>
        </w:rPr>
      </w:pPr>
      <w:r>
        <w:t>AWWA C207-13, Steel Pipe Flanges for Waterworks Service, Sizes 4 In. Through 144 In. (100 mm Through 3,600 mm)</w:t>
      </w:r>
    </w:p>
    <w:p>
      <w:pPr>
        <w:pStyle w:val="P36"/>
      </w:pPr>
      <w:r>
        <w:t>American Society of Mechanical Engineers (ASME)</w:t>
      </w:r>
    </w:p>
    <w:p>
      <w:pPr>
        <w:pStyle w:val="P37"/>
        <w:rPr>
          <w:b w:val="1"/>
        </w:rPr>
      </w:pPr>
      <w:r>
        <w:t>ASME B16.1-2015, Gray Iron pipe Flanges and Flanged Fittings</w:t>
      </w:r>
    </w:p>
    <w:p>
      <w:pPr>
        <w:pStyle w:val="P37"/>
      </w:pPr>
      <w:r>
        <w:t>ASME B16.5-2013, Pipe Flanges and Flanged Fittings: NPS 1/2 through NPS 24 Metric/Inch Standard</w:t>
      </w:r>
    </w:p>
    <w:p/>
    <w:tbl>
      <w:tblPr>
        <w:tblStyle w:val="T2"/>
        <w:tblW w:w="9150" w:type="dxa"/>
        <w:jc w:val="center"/>
        <w:tblInd w:w="115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1625" w:type="dxa"/>
            <w:tcBorders>
              <w:top w:val="double" w:sz="6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33"/>
              <w:spacing w:before="0"/>
              <w:ind w:hanging="1440" w:left="144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Item</w:t>
            </w:r>
          </w:p>
        </w:tc>
        <w:tc>
          <w:tcPr>
            <w:tcW w:w="1530" w:type="dxa"/>
            <w:tcBorders>
              <w:top w:val="double" w:sz="6" w:space="0" w:shadow="0" w:frame="0"/>
              <w:left w:val="single" w:sz="6" w:space="0" w:shadow="0" w:frame="0"/>
              <w:bottom w:val="double" w:sz="6" w:space="0" w:shadow="0" w:frame="0"/>
            </w:tcBorders>
          </w:tcPr>
          <w:p>
            <w:pPr>
              <w:pStyle w:val="P33"/>
              <w:spacing w:before="0"/>
              <w:ind w:hanging="1440" w:left="144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Size</w:t>
            </w:r>
          </w:p>
        </w:tc>
        <w:tc>
          <w:tcPr>
            <w:tcW w:w="5995" w:type="dxa"/>
            <w:tcBorders>
              <w:top w:val="doub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33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</w:t>
            </w:r>
          </w:p>
        </w:tc>
      </w:tr>
      <w:tr>
        <w:trPr>
          <w:wAfter w:w="0" w:type="dxa"/>
        </w:trPr>
        <w:tc>
          <w:tcPr>
            <w:tcW w:w="1625" w:type="dxa"/>
            <w:tcBorders>
              <w:left w:val="double" w:sz="6" w:space="0" w:shadow="0" w:frame="0"/>
            </w:tcBorders>
          </w:tcPr>
          <w:p>
            <w:pPr>
              <w:pStyle w:val="P19"/>
              <w:spacing w:before="0"/>
              <w:ind w:hanging="1440" w:left="144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General</w:t>
            </w:r>
          </w:p>
        </w:tc>
        <w:tc>
          <w:tcPr>
            <w:tcW w:w="1530" w:type="dxa"/>
            <w:tcBorders>
              <w:left w:val="single" w:sz="6" w:space="0" w:shadow="0" w:frame="0"/>
            </w:tcBorders>
          </w:tcPr>
          <w:p>
            <w:pPr>
              <w:pStyle w:val="P19"/>
              <w:spacing w:before="0"/>
              <w:ind w:hanging="1440" w:left="144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5995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 lengths, fittings, and flanged connections to be joined by thermal butt-fusion shall be of the same type, grade, and class of polyethylene compound and supplied from the same raw material supplier.</w:t>
            </w:r>
          </w:p>
        </w:tc>
      </w:tr>
      <w:tr>
        <w:trPr>
          <w:wAfter w:w="0" w:type="dxa"/>
        </w:trPr>
        <w:tc>
          <w:tcPr>
            <w:tcW w:w="1625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19"/>
              <w:spacing w:before="0"/>
              <w:ind w:hanging="1440" w:left="144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</w:t>
            </w:r>
          </w:p>
        </w:tc>
        <w:tc>
          <w:tcPr>
            <w:tcW w:w="1530" w:type="dxa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19"/>
              <w:tabs>
                <w:tab w:val="left" w:pos="0" w:leader="none"/>
                <w:tab w:val="clear" w:pos="1440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12 mm to 100 mm</w:t>
            </w:r>
          </w:p>
        </w:tc>
        <w:tc>
          <w:tcPr>
            <w:tcW w:w="5995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numPr>
                <w:ilvl w:val="0"/>
                <w:numId w:val="24"/>
              </w:numPr>
              <w:tabs>
                <w:tab w:val="left" w:pos="400" w:leader="none"/>
              </w:tabs>
              <w:spacing w:before="0"/>
              <w:ind w:left="40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ASTM D3350-14, high-density polyethylene, maximum allowable hoop stress 11032 kPa at 23 degrees Celsius.</w:t>
            </w:r>
          </w:p>
          <w:p>
            <w:pPr>
              <w:pStyle w:val="P19"/>
              <w:numPr>
                <w:ilvl w:val="0"/>
                <w:numId w:val="24"/>
              </w:numPr>
              <w:tabs>
                <w:tab w:val="left" w:pos="400" w:leader="none"/>
              </w:tabs>
              <w:spacing w:before="0"/>
              <w:ind w:left="40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Polyethylene resins shall conform to Type PE 3408 or better.</w:t>
            </w:r>
          </w:p>
          <w:p>
            <w:pPr>
              <w:pStyle w:val="P19"/>
              <w:numPr>
                <w:ilvl w:val="0"/>
                <w:numId w:val="24"/>
              </w:numPr>
              <w:tabs>
                <w:tab w:val="left" w:pos="400" w:leader="none"/>
              </w:tabs>
              <w:spacing w:before="0"/>
              <w:ind w:left="40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Protection shall be provided against ultraviolet light degradation using carbon black, a minimum of 2 percent well dispersed in the resin.</w:t>
            </w:r>
          </w:p>
          <w:p>
            <w:pPr>
              <w:pStyle w:val="P19"/>
              <w:numPr>
                <w:ilvl w:val="0"/>
                <w:numId w:val="24"/>
              </w:numPr>
              <w:tabs>
                <w:tab w:val="left" w:pos="400" w:leader="none"/>
              </w:tabs>
              <w:spacing w:before="0"/>
              <w:ind w:left="40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 wall thickness shall reflect the required SDR* and diameter, as shown in Table 8, ASTM F714-13.</w:t>
            </w:r>
          </w:p>
          <w:p>
            <w:pPr>
              <w:pStyle w:val="P19"/>
              <w:numPr>
                <w:ilvl w:val="0"/>
                <w:numId w:val="24"/>
              </w:numPr>
              <w:tabs>
                <w:tab w:val="left" w:pos="400" w:leader="none"/>
              </w:tabs>
              <w:spacing w:before="0"/>
              <w:ind w:left="40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Design Stress Rating: ASTM F714-13, 11,032 kPa hydrostatic.</w:t>
            </w:r>
          </w:p>
          <w:p>
            <w:pPr>
              <w:pStyle w:val="P19"/>
              <w:numPr>
                <w:ilvl w:val="0"/>
                <w:numId w:val="24"/>
              </w:numPr>
              <w:tabs>
                <w:tab w:val="left" w:pos="400" w:leader="none"/>
                <w:tab w:val="left" w:pos="510" w:leader="none"/>
                <w:tab w:val="right" w:pos="1410" w:leader="none"/>
                <w:tab w:val="clear" w:pos="1440" w:leader="none"/>
                <w:tab w:val="clear" w:pos="2016" w:leader="none"/>
                <w:tab w:val="clear" w:pos="2592" w:leader="none"/>
                <w:tab w:val="left" w:pos="2760" w:leader="none"/>
                <w:tab w:val="clear" w:pos="3168" w:leader="none"/>
                <w:tab w:val="left" w:pos="33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0"/>
              <w:ind w:left="40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Pressure Rating: 160; SDR*11</w:t>
            </w:r>
          </w:p>
          <w:p>
            <w:pPr>
              <w:pStyle w:val="P19"/>
              <w:tabs>
                <w:tab w:val="left" w:pos="864" w:leader="none"/>
              </w:tabs>
              <w:spacing w:before="0"/>
              <w:ind w:firstLine="49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*SDR: standard dimension ratio = OD/thickness</w:t>
            </w:r>
          </w:p>
        </w:tc>
      </w:tr>
      <w:tr>
        <w:trPr>
          <w:wAfter w:w="0" w:type="dxa"/>
        </w:trPr>
        <w:tc>
          <w:tcPr>
            <w:tcW w:w="1625" w:type="dxa"/>
            <w:tcBorders>
              <w:top w:val="single" w:sz="6" w:space="0" w:shadow="0" w:frame="0"/>
              <w:left w:val="double" w:sz="6" w:space="0" w:shadow="0" w:frame="0"/>
              <w:bottom w:val="single" w:sz="4" w:space="0" w:shadow="0" w:frame="0"/>
            </w:tcBorders>
          </w:tcPr>
          <w:p>
            <w:pPr>
              <w:pStyle w:val="P19"/>
              <w:spacing w:before="0"/>
              <w:ind w:hanging="1440" w:left="144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Fittings</w:t>
            </w:r>
          </w:p>
        </w:tc>
        <w:tc>
          <w:tcPr>
            <w:tcW w:w="1530" w:type="dxa"/>
            <w:tcBorders>
              <w:top w:val="single" w:sz="6" w:space="0" w:shadow="0" w:frame="0"/>
              <w:left w:val="single" w:sz="6" w:space="0" w:shadow="0" w:frame="0"/>
              <w:bottom w:val="single" w:sz="4" w:space="0" w:shadow="0" w:frame="0"/>
            </w:tcBorders>
          </w:tcPr>
          <w:p>
            <w:pPr>
              <w:pStyle w:val="P19"/>
              <w:tabs>
                <w:tab w:val="clear" w:pos="1440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100 mm and smaller</w:t>
            </w:r>
          </w:p>
        </w:tc>
        <w:tc>
          <w:tcPr>
            <w:tcW w:w="5995" w:type="dxa"/>
            <w:tcBorders>
              <w:top w:val="single" w:sz="6" w:space="0" w:shadow="0" w:frame="0"/>
              <w:left w:val="single" w:sz="6" w:space="0" w:shadow="0" w:frame="0"/>
              <w:bottom w:val="single" w:sz="4" w:space="0" w:shadow="0" w:frame="0"/>
              <w:right w:val="double" w:sz="6" w:space="0" w:shadow="0" w:frame="0"/>
            </w:tcBorders>
          </w:tcPr>
          <w:p>
            <w:pPr>
              <w:pStyle w:val="P19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Molded fittings, butt fusion joined, conforming to the requirements of ASTM D3261-16.</w:t>
            </w:r>
          </w:p>
        </w:tc>
      </w:tr>
      <w:tr>
        <w:trPr>
          <w:wAfter w:w="0" w:type="dxa"/>
        </w:trPr>
        <w:tc>
          <w:tcPr>
            <w:tcW w:w="1625" w:type="dxa"/>
            <w:tcBorders>
              <w:left w:val="double" w:sz="6" w:space="0" w:shadow="0" w:frame="0"/>
            </w:tcBorders>
          </w:tcPr>
          <w:p>
            <w:pPr>
              <w:pStyle w:val="P19"/>
              <w:spacing w:before="0"/>
              <w:ind w:hanging="1440" w:left="144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Flanges</w:t>
            </w:r>
          </w:p>
        </w:tc>
        <w:tc>
          <w:tcPr>
            <w:tcW w:w="1530" w:type="dxa"/>
            <w:tcBorders>
              <w:left w:val="single" w:sz="6" w:space="0" w:shadow="0" w:frame="0"/>
            </w:tcBorders>
          </w:tcPr>
          <w:p>
            <w:pPr>
              <w:pStyle w:val="P19"/>
              <w:spacing w:before="0"/>
              <w:ind w:hanging="1440" w:left="144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5995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numPr>
                <w:ilvl w:val="0"/>
                <w:numId w:val="25"/>
              </w:numPr>
              <w:tabs>
                <w:tab w:val="left" w:pos="400" w:leader="none"/>
              </w:tabs>
              <w:spacing w:before="0"/>
              <w:ind w:left="40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Van Stone type, cast ASTM A351/A351M-16, Type 316 stainless steel backing ring.</w:t>
            </w:r>
          </w:p>
          <w:p>
            <w:pPr>
              <w:pStyle w:val="P19"/>
              <w:numPr>
                <w:ilvl w:val="0"/>
                <w:numId w:val="25"/>
              </w:numPr>
              <w:tabs>
                <w:tab w:val="left" w:pos="400" w:leader="none"/>
              </w:tabs>
              <w:spacing w:before="0"/>
              <w:ind w:left="40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Bolting in accordance ANSI B16.1-2015, Class 125; ANSI B16.5-2013, Class 150; and AWWA C207-13, Class E.</w:t>
            </w:r>
          </w:p>
          <w:p>
            <w:pPr>
              <w:pStyle w:val="P19"/>
              <w:numPr>
                <w:ilvl w:val="0"/>
                <w:numId w:val="25"/>
              </w:numPr>
              <w:tabs>
                <w:tab w:val="left" w:pos="400" w:leader="none"/>
              </w:tabs>
              <w:spacing w:before="0"/>
              <w:ind w:left="40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Pressure performance of the backing ring equal to SDR rating of the pipe with safety factor of two. </w:t>
            </w:r>
          </w:p>
          <w:p>
            <w:pPr>
              <w:pStyle w:val="P19"/>
              <w:numPr>
                <w:ilvl w:val="0"/>
                <w:numId w:val="25"/>
              </w:numPr>
              <w:tabs>
                <w:tab w:val="left" w:pos="400" w:leader="none"/>
              </w:tabs>
              <w:spacing w:before="0"/>
              <w:ind w:left="40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Stub ends shall be the same grade HDPE and pressure rating as pipe.</w:t>
            </w:r>
          </w:p>
        </w:tc>
      </w:tr>
      <w:tr>
        <w:trPr>
          <w:wAfter w:w="0" w:type="dxa"/>
        </w:trPr>
        <w:tc>
          <w:tcPr>
            <w:tcW w:w="1625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19"/>
              <w:spacing w:before="0"/>
              <w:ind w:hanging="1440" w:left="144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Bolting</w:t>
            </w:r>
          </w:p>
        </w:tc>
        <w:tc>
          <w:tcPr>
            <w:tcW w:w="1530" w:type="dxa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19"/>
              <w:spacing w:before="0"/>
              <w:ind w:hanging="1440" w:left="144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5995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numPr>
                <w:ilvl w:val="0"/>
                <w:numId w:val="27"/>
              </w:numPr>
              <w:tabs>
                <w:tab w:val="left" w:pos="400" w:leader="none"/>
              </w:tabs>
              <w:spacing w:before="0"/>
              <w:ind w:left="40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Stainless steel, ASTM A193/A193M-16 Grade B8M studs and ASTM A194/A194M-17 Grade 8M hex head nuts.</w:t>
            </w:r>
          </w:p>
          <w:p>
            <w:pPr>
              <w:pStyle w:val="P19"/>
              <w:numPr>
                <w:ilvl w:val="0"/>
                <w:numId w:val="27"/>
              </w:numPr>
              <w:tabs>
                <w:tab w:val="left" w:pos="400" w:leader="none"/>
              </w:tabs>
              <w:spacing w:before="0"/>
              <w:ind w:left="40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Washers shall be the same material as bolts.</w:t>
            </w:r>
          </w:p>
        </w:tc>
      </w:tr>
      <w:tr>
        <w:trPr>
          <w:wAfter w:w="0" w:type="dxa"/>
        </w:trPr>
        <w:tc>
          <w:tcPr>
            <w:tcW w:w="1625" w:type="dxa"/>
            <w:tcBorders>
              <w:top w:val="single" w:sz="6" w:space="0" w:shadow="0" w:frame="0"/>
              <w:left w:val="double" w:sz="6" w:space="0" w:shadow="0" w:frame="0"/>
              <w:bottom w:val="double" w:sz="4" w:space="0" w:shadow="0" w:frame="0"/>
            </w:tcBorders>
          </w:tcPr>
          <w:p>
            <w:pPr>
              <w:pStyle w:val="P19"/>
              <w:spacing w:before="0"/>
              <w:ind w:hanging="1440" w:left="144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Gaskets</w:t>
            </w:r>
          </w:p>
        </w:tc>
        <w:tc>
          <w:tcPr>
            <w:tcW w:w="1530" w:type="dxa"/>
            <w:tcBorders>
              <w:top w:val="single" w:sz="6" w:space="0" w:shadow="0" w:frame="0"/>
              <w:left w:val="single" w:sz="6" w:space="0" w:shadow="0" w:frame="0"/>
              <w:bottom w:val="double" w:sz="4" w:space="0" w:shadow="0" w:frame="0"/>
            </w:tcBorders>
          </w:tcPr>
          <w:p>
            <w:pPr>
              <w:pStyle w:val="P19"/>
              <w:spacing w:before="0"/>
              <w:ind w:hanging="1440" w:left="144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995" w:type="dxa"/>
            <w:tcBorders>
              <w:top w:val="single" w:sz="6" w:space="0" w:shadow="0" w:frame="0"/>
              <w:left w:val="single" w:sz="6" w:space="0" w:shadow="0" w:frame="0"/>
              <w:bottom w:val="double" w:sz="4" w:space="0" w:shadow="0" w:frame="0"/>
              <w:right w:val="double" w:sz="6" w:space="0" w:shadow="0" w:frame="0"/>
            </w:tcBorders>
          </w:tcPr>
          <w:p>
            <w:pPr>
              <w:pStyle w:val="P19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Flat ring, 1/8-inch ethylene propylene rubber (EPR).</w:t>
            </w:r>
          </w:p>
        </w:tc>
      </w:tr>
    </w:tbl>
    <w:p>
      <w:pPr>
        <w:pStyle w:val="P18"/>
        <w:spacing w:before="240"/>
        <w:jc w:val="center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 xml:space="preserve">END </w:t>
      </w:r>
      <w:r>
        <w:rPr>
          <w:rFonts w:ascii="Calibri" w:hAnsi="Calibri"/>
          <w:b w:val="1"/>
          <w:sz w:val="22"/>
        </w:rPr>
        <w:t xml:space="preserve">OF </w:t>
      </w:r>
      <w:r>
        <w:rPr>
          <w:rFonts w:ascii="Calibri" w:hAnsi="Calibri"/>
          <w:b w:val="1"/>
          <w:sz w:val="22"/>
        </w:rPr>
        <w:t>SECTION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720" w:right="720" w:top="1440" w:bottom="1440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>CONTRACT NO</w:t>
    </w:r>
    <w:r>
      <w:rPr>
        <w:highlight w:val="lightGray"/>
      </w:rPr>
      <w:t>.... [Insert Region Number]</w:t>
    </w:r>
    <w:r>
      <w:tab/>
      <w:t>Section 15100-07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b w:val="1"/>
      </w:rPr>
      <w:tab/>
    </w:r>
    <w:r>
      <w:rPr>
        <w:b w:val="1"/>
      </w:rPr>
      <w:t>HIGH-DENSITY POLYETHYLENE (HDPE) PIPE AND FITTINGS -</w:t>
    </w:r>
    <w:r>
      <w:tab/>
      <w:t>2014-06-25</w:t>
    </w:r>
  </w:p>
  <w:p>
    <w:pPr>
      <w:pBdr>
        <w:top w:val="single" w:sz="4" w:space="0" w:shadow="0" w:frame="0"/>
      </w:pBdr>
      <w:tabs>
        <w:tab w:val="center" w:pos="5220" w:leader="none"/>
        <w:tab w:val="right" w:pos="10350" w:leader="none"/>
      </w:tabs>
      <w:rPr>
        <w:rStyle w:val="C5"/>
      </w:rPr>
    </w:pPr>
    <w:r>
      <w:t xml:space="preserve">DATE:  </w:t>
    </w:r>
    <w:r>
      <w:rPr>
        <w:highlight w:val="lightGray"/>
      </w:rPr>
      <w:t>[Insert Date, (e.g. Jan., 2000)]</w:t>
    </w:r>
    <w:r>
      <w:tab/>
    </w:r>
    <w:r>
      <w:rPr>
        <w:b w:val="1"/>
      </w:rPr>
      <w:t>GAS SERVICE</w:t>
    </w:r>
    <w:r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spacing w:after="240"/>
      <w:rPr>
        <w:rStyle w:val="C5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 xml:space="preserve">CONTRACT NO. </w:t>
    </w:r>
    <w:r>
      <w:rPr>
        <w:highlight w:val="yellow"/>
      </w:rPr>
      <w:t>[Insert Contract Number]</w:t>
    </w:r>
    <w:r>
      <w:tab/>
      <w:t>Section 15100-07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b w:val="1"/>
      </w:rPr>
      <w:tab/>
    </w:r>
    <w:r>
      <w:rPr>
        <w:b w:val="1"/>
      </w:rPr>
      <w:t>HIGH-DENSITY POLYETHYLENE (HDPE) PIPE AND FITTINGS -</w:t>
    </w:r>
    <w:r>
      <w:tab/>
      <w:t>2017-08-15</w:t>
    </w:r>
  </w:p>
  <w:p>
    <w:pPr>
      <w:pBdr>
        <w:top w:val="single" w:sz="4" w:space="0" w:shadow="0" w:frame="0"/>
      </w:pBdr>
      <w:tabs>
        <w:tab w:val="center" w:pos="5220" w:leader="none"/>
        <w:tab w:val="right" w:pos="10350" w:leader="none"/>
      </w:tabs>
    </w:pPr>
    <w:r>
      <w:t xml:space="preserve">DATE:  </w:t>
    </w:r>
    <w:r>
      <w:rPr>
        <w:highlight w:val="yellow"/>
      </w:rPr>
      <w:t>[Insert Date, (e.g. Jan., 2000)]</w:t>
    </w:r>
    <w:r>
      <w:tab/>
    </w:r>
    <w:r>
      <w:rPr>
        <w:b w:val="1"/>
      </w:rPr>
      <w:t>GAS SERVICE</w:t>
    </w:r>
    <w:r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</w:p>
  <w:p>
    <w:pPr>
      <w:pStyle w:val="P7"/>
      <w:spacing w:after="24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>Section 15100-07</w:t>
      <w:tab/>
      <w:t xml:space="preserve">CONTRACT NO. </w:t>
    </w:r>
    <w:r>
      <w:rPr>
        <w:highlight w:val="yellow"/>
      </w:rPr>
      <w:t>[Insert Contract Number]</w:t>
    </w:r>
    <w:r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t xml:space="preserve">2017-08-15 </w:t>
    </w:r>
    <w:r>
      <w:rPr>
        <w:b w:val="1"/>
      </w:rPr>
      <w:tab/>
      <w:t>HIGH-DENSITY POLYETHYLENE (HDPE) PIPE AND FITTINGS -</w:t>
    </w:r>
    <w:r>
      <w:tab/>
    </w:r>
  </w:p>
  <w:p>
    <w:pPr>
      <w:pBdr>
        <w:top w:val="single" w:sz="4" w:space="0" w:shadow="0" w:frame="0"/>
      </w:pBdr>
      <w:tabs>
        <w:tab w:val="center" w:pos="5220" w:leader="none"/>
        <w:tab w:val="right" w:pos="10350" w:leader="none"/>
      </w:tabs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ab/>
    </w:r>
    <w:r>
      <w:rPr>
        <w:b w:val="1"/>
      </w:rPr>
      <w:t>GAS SERVICE</w:t>
    </w:r>
    <w:r>
      <w:tab/>
      <w:t xml:space="preserve">DATE:  </w:t>
    </w:r>
    <w:r>
      <w:rPr>
        <w:highlight w:val="yellow"/>
      </w:rPr>
      <w:t>[Insert Date, (e.g. Jan., 2000)]</w:t>
    </w:r>
  </w:p>
  <w:p>
    <w:pPr>
      <w:pStyle w:val="P7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3674E8D7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0F94551E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3">
    <w:nsid w:val="1521472B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">
    <w:nsid w:val="17D74534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5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204F1E2B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7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8">
    <w:nsid w:val="2CF16422"/>
    <w:multiLevelType w:val="multilevel"/>
    <w:lvl w:ilvl="0">
      <w:start w:val="1"/>
      <w:numFmt w:val="decimal"/>
      <w:suff w:val="tab"/>
      <w:lvlText w:val=".%1"/>
      <w:lvlJc w:val="left"/>
      <w:pPr>
        <w:ind w:hanging="360" w:left="2250"/>
      </w:pPr>
      <w:rPr/>
    </w:lvl>
    <w:lvl w:ilvl="1">
      <w:start w:val="1"/>
      <w:numFmt w:val="lowerLetter"/>
      <w:suff w:val="tab"/>
      <w:lvlText w:val="%2."/>
      <w:lvlJc w:val="left"/>
      <w:pPr>
        <w:ind w:hanging="360" w:left="2970"/>
      </w:pPr>
      <w:rPr/>
    </w:lvl>
    <w:lvl w:ilvl="2">
      <w:start w:val="1"/>
      <w:numFmt w:val="lowerRoman"/>
      <w:suff w:val="tab"/>
      <w:lvlText w:val="%3."/>
      <w:lvlJc w:val="right"/>
      <w:pPr>
        <w:ind w:hanging="180" w:left="3690"/>
      </w:pPr>
      <w:rPr/>
    </w:lvl>
    <w:lvl w:ilvl="3">
      <w:start w:val="1"/>
      <w:numFmt w:val="decimal"/>
      <w:suff w:val="tab"/>
      <w:lvlText w:val="%4."/>
      <w:lvlJc w:val="left"/>
      <w:pPr>
        <w:ind w:hanging="360" w:left="4410"/>
      </w:pPr>
      <w:rPr/>
    </w:lvl>
    <w:lvl w:ilvl="4">
      <w:start w:val="1"/>
      <w:numFmt w:val="lowerLetter"/>
      <w:suff w:val="tab"/>
      <w:lvlText w:val="%5."/>
      <w:lvlJc w:val="left"/>
      <w:pPr>
        <w:ind w:hanging="360" w:left="5130"/>
      </w:pPr>
      <w:rPr/>
    </w:lvl>
    <w:lvl w:ilvl="5">
      <w:start w:val="1"/>
      <w:numFmt w:val="lowerRoman"/>
      <w:suff w:val="tab"/>
      <w:lvlText w:val="%6."/>
      <w:lvlJc w:val="right"/>
      <w:pPr>
        <w:ind w:hanging="180" w:left="5850"/>
      </w:pPr>
      <w:rPr/>
    </w:lvl>
    <w:lvl w:ilvl="6">
      <w:start w:val="1"/>
      <w:numFmt w:val="decimal"/>
      <w:suff w:val="tab"/>
      <w:lvlText w:val="%7."/>
      <w:lvlJc w:val="left"/>
      <w:pPr>
        <w:ind w:hanging="360" w:left="6570"/>
      </w:pPr>
      <w:rPr/>
    </w:lvl>
    <w:lvl w:ilvl="7">
      <w:start w:val="1"/>
      <w:numFmt w:val="lowerLetter"/>
      <w:suff w:val="tab"/>
      <w:lvlText w:val="%8."/>
      <w:lvlJc w:val="left"/>
      <w:pPr>
        <w:ind w:hanging="360" w:left="7290"/>
      </w:pPr>
      <w:rPr/>
    </w:lvl>
    <w:lvl w:ilvl="8">
      <w:start w:val="1"/>
      <w:numFmt w:val="lowerRoman"/>
      <w:suff w:val="tab"/>
      <w:lvlText w:val="%9."/>
      <w:lvlJc w:val="right"/>
      <w:pPr>
        <w:ind w:hanging="180" w:left="8010"/>
      </w:pPr>
      <w:rPr/>
    </w:lvl>
  </w:abstractNum>
  <w:abstractNum w:abstractNumId="9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1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12">
    <w:nsid w:val="49230C34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3">
    <w:nsid w:val="49F57895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4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5">
    <w:nsid w:val="58917932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6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7">
    <w:nsid w:val="74372CE8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8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14"/>
  </w:num>
  <w:num w:numId="4">
    <w:abstractNumId w:val="7"/>
  </w:num>
  <w:num w:numId="5">
    <w:abstractNumId w:val="16"/>
  </w:num>
  <w:num w:numId="6">
    <w:abstractNumId w:val="5"/>
  </w:num>
  <w:num w:numId="7">
    <w:abstractNumId w:val="10"/>
  </w:num>
  <w:num w:numId="8">
    <w:abstractNumId w:val="2"/>
  </w:num>
  <w:num w:numId="9">
    <w:abstractNumId w:val="18"/>
  </w:num>
  <w:num w:numId="10">
    <w:abstractNumId w:val="9"/>
  </w:num>
  <w:num w:numId="11">
    <w:abstractNumId w:val="8"/>
  </w:num>
  <w:num w:numId="12">
    <w:abstractNumId w:val="4"/>
  </w:num>
  <w:num w:numId="13">
    <w:abstractNumId w:val="12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6"/>
  </w:num>
  <w:num w:numId="24">
    <w:abstractNumId w:val="15"/>
  </w:num>
  <w:num w:numId="25">
    <w:abstractNumId w:val="3"/>
  </w:num>
  <w:num w:numId="26">
    <w:abstractNumId w:val="13"/>
  </w:num>
  <w:num w:numId="27">
    <w:abstractNumId w:val="17"/>
  </w:num>
  <w:num w:numId="28">
    <w:abstractNumId w:val="1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link w:val="C9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19"/>
    <w:qFormat/>
    <w:pPr>
      <w:keepNext w:val="1"/>
      <w:spacing w:before="160" w:after="30"/>
    </w:pPr>
    <w:rPr>
      <w:rFonts w:ascii="Arial Narrow" w:hAnsi="Arial Narrow"/>
      <w:b w:val="1"/>
      <w:sz w:val="20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Table Text"/>
    <w:basedOn w:val="P0"/>
    <w:next w:val="P19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0">
    <w:name w:val="Normal Table Text"/>
    <w:basedOn w:val="P0"/>
    <w:next w:val="P20"/>
    <w:pPr>
      <w:widowControl w:val="0"/>
      <w:spacing w:before="60" w:after="60"/>
    </w:pPr>
    <w:rPr>
      <w:rFonts w:ascii="Arial" w:hAnsi="Arial"/>
      <w:sz w:val="20"/>
    </w:rPr>
  </w:style>
  <w:style w:type="paragraph" w:styleId="P21">
    <w:name w:val="Balloon Text"/>
    <w:basedOn w:val="P0"/>
    <w:next w:val="P21"/>
    <w:link w:val="C8"/>
    <w:pPr/>
    <w:rPr>
      <w:rFonts w:ascii="Tahoma" w:hAnsi="Tahoma"/>
      <w:sz w:val="16"/>
    </w:rPr>
  </w:style>
  <w:style w:type="paragraph" w:styleId="P22">
    <w:name w:val="List Paragraph"/>
    <w:basedOn w:val="P0"/>
    <w:next w:val="P22"/>
    <w:qFormat/>
    <w:pPr>
      <w:ind w:left="720"/>
      <w:contextualSpacing w:val="1"/>
    </w:pPr>
    <w:rPr/>
  </w:style>
  <w:style w:type="paragraph" w:styleId="P23">
    <w:name w:val="Bullet"/>
    <w:basedOn w:val="P1"/>
    <w:next w:val="P1"/>
    <w:pPr/>
    <w:rPr/>
  </w:style>
  <w:style w:type="paragraph" w:styleId="P24">
    <w:name w:val="CSA"/>
    <w:basedOn w:val="P1"/>
    <w:next w:val="P34"/>
    <w:pPr>
      <w:keepNext w:val="1"/>
      <w:spacing w:after="0"/>
    </w:pPr>
    <w:rPr>
      <w:b w:val="1"/>
      <w:caps w:val="1"/>
      <w:sz w:val="20"/>
    </w:rPr>
  </w:style>
  <w:style w:type="paragraph" w:styleId="P25">
    <w:name w:val="Footnote Text"/>
    <w:basedOn w:val="P1"/>
    <w:next w:val="P25"/>
    <w:pPr>
      <w:spacing w:after="0"/>
    </w:pPr>
    <w:rPr>
      <w:rFonts w:ascii="Arial" w:hAnsi="Arial"/>
      <w:sz w:val="16"/>
    </w:rPr>
  </w:style>
  <w:style w:type="paragraph" w:styleId="P26">
    <w:name w:val="Number"/>
    <w:basedOn w:val="P1"/>
    <w:next w:val="P1"/>
    <w:pPr>
      <w:spacing w:after="0"/>
      <w:ind w:hanging="360" w:left="360"/>
    </w:pPr>
    <w:rPr/>
  </w:style>
  <w:style w:type="paragraph" w:styleId="P27">
    <w:name w:val="Tick"/>
    <w:basedOn w:val="P1"/>
    <w:next w:val="P1"/>
    <w:pPr>
      <w:spacing w:after="0"/>
      <w:ind w:hanging="360" w:left="720"/>
    </w:pPr>
    <w:rPr/>
  </w:style>
  <w:style w:type="paragraph" w:styleId="P28">
    <w:name w:val="TOC 1"/>
    <w:basedOn w:val="P1"/>
    <w:next w:val="P40"/>
    <w:pPr>
      <w:tabs>
        <w:tab w:val="right" w:pos="8640" w:leader="dot"/>
      </w:tabs>
      <w:spacing w:after="0"/>
    </w:pPr>
    <w:rPr>
      <w:b w:val="1"/>
    </w:rPr>
  </w:style>
  <w:style w:type="paragraph" w:styleId="P29">
    <w:name w:val="Comment Subject"/>
    <w:basedOn w:val="P2"/>
    <w:next w:val="P2"/>
    <w:link w:val="C10"/>
    <w:pPr>
      <w:spacing w:before="0"/>
    </w:pPr>
    <w:rPr>
      <w:rFonts w:ascii="Book Antiqua" w:hAnsi="Book Antiqua"/>
      <w:b w:val="1"/>
      <w:sz w:val="20"/>
    </w:rPr>
  </w:style>
  <w:style w:type="paragraph" w:styleId="P30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1">
    <w:name w:val="Exhibit--Number"/>
    <w:basedOn w:val="P4"/>
    <w:next w:val="P41"/>
    <w:pPr>
      <w:spacing w:before="160"/>
    </w:pPr>
    <w:rPr>
      <w:caps w:val="1"/>
      <w:sz w:val="18"/>
    </w:rPr>
  </w:style>
  <w:style w:type="paragraph" w:styleId="P32">
    <w:name w:val="Table Body"/>
    <w:basedOn w:val="P9"/>
    <w:next w:val="P32"/>
    <w:pPr>
      <w:jc w:val="left"/>
    </w:pPr>
    <w:rPr>
      <w:b w:val="0"/>
    </w:rPr>
  </w:style>
  <w:style w:type="paragraph" w:styleId="P33">
    <w:name w:val="Table Heading"/>
    <w:basedOn w:val="P19"/>
    <w:next w:val="P33"/>
    <w:pPr>
      <w:jc w:val="center"/>
    </w:pPr>
    <w:rPr>
      <w:b w:val="1"/>
    </w:rPr>
  </w:style>
  <w:style w:type="paragraph" w:styleId="P34">
    <w:name w:val="Heading 1"/>
    <w:basedOn w:val="P22"/>
    <w:next w:val="P34"/>
    <w:link w:val="C11"/>
    <w:qFormat/>
    <w:pPr>
      <w:numPr>
        <w:numId w:val="22"/>
      </w:numPr>
      <w:spacing w:before="160"/>
      <w:contextualSpacing w:val="1"/>
      <w:outlineLvl w:val="0"/>
    </w:pPr>
    <w:rPr>
      <w:caps w:val="1"/>
    </w:rPr>
  </w:style>
  <w:style w:type="paragraph" w:styleId="P35">
    <w:name w:val="Heading 2"/>
    <w:basedOn w:val="P22"/>
    <w:next w:val="P0"/>
    <w:link w:val="C12"/>
    <w:qFormat/>
    <w:pPr>
      <w:numPr>
        <w:ilvl w:val="1"/>
        <w:numId w:val="22"/>
      </w:numPr>
      <w:spacing w:before="80"/>
      <w:contextualSpacing w:val="1"/>
      <w:outlineLvl w:val="1"/>
    </w:pPr>
    <w:rPr>
      <w:u w:val="single"/>
    </w:rPr>
  </w:style>
  <w:style w:type="paragraph" w:styleId="P36">
    <w:name w:val="Heading 3"/>
    <w:basedOn w:val="P22"/>
    <w:next w:val="P36"/>
    <w:link w:val="C7"/>
    <w:qFormat/>
    <w:pPr>
      <w:numPr>
        <w:ilvl w:val="2"/>
        <w:numId w:val="22"/>
      </w:numPr>
      <w:contextualSpacing w:val="1"/>
      <w:outlineLvl w:val="2"/>
    </w:pPr>
    <w:rPr/>
  </w:style>
  <w:style w:type="paragraph" w:styleId="P37">
    <w:name w:val="Heading 4"/>
    <w:basedOn w:val="P22"/>
    <w:next w:val="P37"/>
    <w:link w:val="C13"/>
    <w:qFormat/>
    <w:pPr>
      <w:numPr>
        <w:ilvl w:val="3"/>
        <w:numId w:val="22"/>
      </w:numPr>
      <w:contextualSpacing w:val="1"/>
      <w:outlineLvl w:val="3"/>
    </w:pPr>
    <w:rPr/>
  </w:style>
  <w:style w:type="paragraph" w:styleId="P38">
    <w:name w:val="Heading 7"/>
    <w:basedOn w:val="P22"/>
    <w:next w:val="P0"/>
    <w:link w:val="C16"/>
    <w:qFormat/>
    <w:pPr>
      <w:numPr>
        <w:ilvl w:val="6"/>
        <w:numId w:val="22"/>
      </w:numPr>
      <w:contextualSpacing w:val="1"/>
      <w:outlineLvl w:val="6"/>
    </w:pPr>
    <w:rPr>
      <w:sz w:val="20"/>
    </w:rPr>
  </w:style>
  <w:style w:type="paragraph" w:styleId="P39">
    <w:name w:val="List Bullet"/>
    <w:basedOn w:val="P23"/>
    <w:next w:val="P39"/>
    <w:pPr>
      <w:numPr>
        <w:numId w:val="2"/>
      </w:numPr>
    </w:pPr>
    <w:rPr/>
  </w:style>
  <w:style w:type="paragraph" w:styleId="P40">
    <w:name w:val="TOC 2"/>
    <w:basedOn w:val="P28"/>
    <w:next w:val="P46"/>
    <w:pPr>
      <w:tabs>
        <w:tab w:val="left" w:pos="1008" w:leader="none"/>
      </w:tabs>
      <w:ind w:left="720"/>
    </w:pPr>
    <w:rPr>
      <w:b w:val="0"/>
    </w:rPr>
  </w:style>
  <w:style w:type="paragraph" w:styleId="P41">
    <w:name w:val="Exhibit--Title"/>
    <w:basedOn w:val="P31"/>
    <w:next w:val="P47"/>
    <w:pPr>
      <w:spacing w:before="0"/>
    </w:pPr>
    <w:rPr>
      <w:b w:val="1"/>
      <w:caps w:val="0"/>
      <w:sz w:val="20"/>
    </w:rPr>
  </w:style>
  <w:style w:type="paragraph" w:styleId="P42">
    <w:name w:val="Table Notes"/>
    <w:basedOn w:val="P32"/>
    <w:next w:val="P42"/>
    <w:pPr>
      <w:spacing w:after="320"/>
    </w:pPr>
    <w:rPr/>
  </w:style>
  <w:style w:type="paragraph" w:styleId="P43">
    <w:name w:val="Contents"/>
    <w:basedOn w:val="P34"/>
    <w:next w:val="P1"/>
    <w:pPr/>
    <w:rPr/>
  </w:style>
  <w:style w:type="paragraph" w:styleId="P44">
    <w:name w:val="Heading 5"/>
    <w:basedOn w:val="P37"/>
    <w:next w:val="P44"/>
    <w:link w:val="C14"/>
    <w:qFormat/>
    <w:pPr>
      <w:numPr>
        <w:ilvl w:val="4"/>
        <w:numId w:val="22"/>
      </w:numPr>
      <w:outlineLvl w:val="4"/>
    </w:pPr>
    <w:rPr>
      <w:sz w:val="20"/>
    </w:rPr>
  </w:style>
  <w:style w:type="paragraph" w:styleId="P45">
    <w:name w:val="Heading 8"/>
    <w:basedOn w:val="P38"/>
    <w:next w:val="P0"/>
    <w:link w:val="C17"/>
    <w:qFormat/>
    <w:pPr>
      <w:numPr>
        <w:ilvl w:val="7"/>
        <w:numId w:val="22"/>
      </w:numPr>
      <w:outlineLvl w:val="7"/>
    </w:pPr>
    <w:rPr/>
  </w:style>
  <w:style w:type="paragraph" w:styleId="P46">
    <w:name w:val="TOC 3"/>
    <w:basedOn w:val="P40"/>
    <w:next w:val="P46"/>
    <w:pPr>
      <w:tabs>
        <w:tab w:val="clear" w:pos="1008" w:leader="none"/>
        <w:tab w:val="left" w:pos="1728" w:leader="none"/>
      </w:tabs>
      <w:ind w:left="1440"/>
    </w:pPr>
    <w:rPr/>
  </w:style>
  <w:style w:type="paragraph" w:styleId="P47">
    <w:name w:val="Exhibit--Caption"/>
    <w:basedOn w:val="P41"/>
    <w:next w:val="P1"/>
    <w:pPr/>
    <w:rPr>
      <w:i w:val="1"/>
    </w:rPr>
  </w:style>
  <w:style w:type="paragraph" w:styleId="P48">
    <w:name w:val="Heading 6"/>
    <w:basedOn w:val="P44"/>
    <w:next w:val="P0"/>
    <w:link w:val="C15"/>
    <w:qFormat/>
    <w:pPr>
      <w:numPr>
        <w:ilvl w:val="5"/>
        <w:numId w:val="22"/>
      </w:numPr>
      <w:outlineLvl w:val="5"/>
    </w:pPr>
    <w:rPr/>
  </w:style>
  <w:style w:type="paragraph" w:styleId="P49">
    <w:name w:val="Heading 9"/>
    <w:basedOn w:val="P45"/>
    <w:next w:val="P0"/>
    <w:link w:val="C18"/>
    <w:qFormat/>
    <w:pPr>
      <w:numPr>
        <w:ilvl w:val="8"/>
        <w:numId w:val="27"/>
      </w:numPr>
      <w:tabs>
        <w:tab w:val="clear" w:pos="360" w:leader="none"/>
        <w:tab w:val="left" w:pos="5760" w:leader="none"/>
      </w:tabs>
      <w:outlineLvl w:val="8"/>
    </w:pPr>
    <w:rPr/>
  </w:style>
  <w:style w:type="paragraph" w:styleId="P50">
    <w:name w:val="TOC 4"/>
    <w:basedOn w:val="P46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6"/>
    <w:rPr/>
  </w:style>
  <w:style w:type="character" w:styleId="C8">
    <w:name w:val="Balloon Text Char"/>
    <w:link w:val="P21"/>
    <w:rPr>
      <w:rFonts w:ascii="Tahoma" w:hAnsi="Tahoma"/>
      <w:sz w:val="16"/>
    </w:rPr>
  </w:style>
  <w:style w:type="character" w:styleId="C9">
    <w:name w:val="Comment Text Char"/>
    <w:link w:val="P2"/>
    <w:rPr>
      <w:rFonts w:ascii="Arial" w:hAnsi="Arial"/>
    </w:rPr>
  </w:style>
  <w:style w:type="character" w:styleId="C10">
    <w:name w:val="Comment Subject Char"/>
    <w:link w:val="P29"/>
    <w:rPr>
      <w:rFonts w:ascii="Book Antiqua" w:hAnsi="Book Antiqua"/>
      <w:b w:val="1"/>
      <w:sz w:val="20"/>
    </w:rPr>
  </w:style>
  <w:style w:type="character" w:styleId="C11">
    <w:name w:val="Heading 1 Char"/>
    <w:link w:val="P34"/>
    <w:rPr>
      <w:caps w:val="1"/>
    </w:rPr>
  </w:style>
  <w:style w:type="character" w:styleId="C12">
    <w:name w:val="Heading 2 Char"/>
    <w:link w:val="P35"/>
    <w:rPr>
      <w:u w:val="single"/>
    </w:rPr>
  </w:style>
  <w:style w:type="character" w:styleId="C13">
    <w:name w:val="Heading 4 Char"/>
    <w:link w:val="P37"/>
    <w:rPr/>
  </w:style>
  <w:style w:type="character" w:styleId="C14">
    <w:name w:val="Heading 5 Char"/>
    <w:link w:val="P44"/>
    <w:rPr>
      <w:sz w:val="20"/>
    </w:rPr>
  </w:style>
  <w:style w:type="character" w:styleId="C15">
    <w:name w:val="Heading 6 Char"/>
    <w:link w:val="P48"/>
    <w:rPr/>
  </w:style>
  <w:style w:type="character" w:styleId="C16">
    <w:name w:val="Heading 7 Char"/>
    <w:link w:val="P38"/>
    <w:rPr>
      <w:sz w:val="20"/>
    </w:rPr>
  </w:style>
  <w:style w:type="character" w:styleId="C17">
    <w:name w:val="Heading 8 Char"/>
    <w:link w:val="P45"/>
    <w:rPr/>
  </w:style>
  <w:style w:type="character" w:styleId="C18">
    <w:name w:val="Heading 9 Char"/>
    <w:link w:val="P49"/>
    <w:rPr/>
  </w:style>
  <w:style w:type="character" w:styleId="C19">
    <w:name w:val="Title Char"/>
    <w:link w:val="P10"/>
    <w:rPr>
      <w:rFonts w:ascii="Arial Narrow" w:hAnsi="Arial Narrow"/>
      <w:b w:val="1"/>
      <w:sz w:val="20"/>
    </w:rPr>
  </w:style>
  <w:style w:type="character" w:styleId="C20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jalba</dc:creator>
  <dcterms:created xsi:type="dcterms:W3CDTF">2017-08-17T15:20:00Z</dcterms:created>
  <cp:lastModifiedBy>Ray</cp:lastModifiedBy>
  <cp:lastPrinted>2006-06-22T14:31:00Z</cp:lastPrinted>
  <dcterms:modified xsi:type="dcterms:W3CDTF">2022-10-04T19:39:02Z</dcterms:modified>
  <cp:revision>3</cp:revision>
  <dc:title>15100-07_High-Density_Polyethylene_(HDPE)_Pipe_And_Fittings-Gas_Service 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ContentTypeId">
    <vt:lpwstr>0x0101001E76F5F51B06864FADA04BB3B6DF741B</vt:lpwstr>
  </property>
  <property fmtid="{D5CDD505-2E9C-101B-9397-08002B2CF9AE}" pid="4" name="Last Updated">
    <vt:lpwstr>2017-08-15T00:00:00Z</vt:lpwstr>
  </property>
  <property fmtid="{D5CDD505-2E9C-101B-9397-08002B2CF9AE}" pid="5" name="_dlc_DocId">
    <vt:lpwstr>ENVCPD-83-1396</vt:lpwstr>
  </property>
  <property fmtid="{D5CDD505-2E9C-101B-9397-08002B2CF9AE}" pid="6" name="_dlc_DocIdItemGuid">
    <vt:lpwstr>afcfb47e-31f8-4b27-9dd3-bf5430b9f00f</vt:lpwstr>
  </property>
  <property fmtid="{D5CDD505-2E9C-101B-9397-08002B2CF9AE}" pid="7" name="_dlc_DocIdUrl">
    <vt:lpwstr>https://mycloud.york.ca/projects/EnvServProgramDeliveryOffice/ProjectServer/AEL/_layouts/DocIdRedir.aspx?ID=ENVCPD-83-1396, ENVCPD-83-1396</vt:lpwstr>
  </property>
</Properties>
</file>