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316580" Type="http://schemas.openxmlformats.org/officeDocument/2006/relationships/officeDocument" Target="/word/document.xml" /><Relationship Id="coreR57316580" Type="http://schemas.openxmlformats.org/package/2006/relationships/metadata/core-properties" Target="/docProps/core.xml" /><Relationship Id="customR5731658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31, 2008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Upload of appropriate document.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5823659-v4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standards ASME B16.9-2012, ASME B16.21-2016, ASME B36.10M-2015, ASTM A307-14e1, ASTM A234/A234M-16, ASTM D1330-04(2015), AWWA C210-15  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53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5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147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5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14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A283/A283M-13, Grade C or ASTM A285/A285M-12 Grade C, sheet or coil, fabricated in accordance with AWWA C200-12, straight or spiral seam, thickness designed for 66 percent of minimum yield stress at hydrostatic test pressure, minimum thickness 1/4-inch, sizes are to be nominal outside diameters conforming to the requirements of ASME B36.10M-2015.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Cement Mortar: AWWA C205-12 (Buried and concrete encased only).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Coal Tar Epoxy: AWWA C210-15 minimum two topcoats.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Applied by pipe manufacturer.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Reinforced Cement Mortar: AWWA C205-12 (Buried and concrete encased only).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Coal Tar Epoxy: AWWA C210-15 minimum two topcoats.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Bonded: As specified in Section </w:t>
            </w:r>
            <w:r>
              <w:rPr>
                <w:rFonts w:ascii="Calibri" w:hAnsi="Calibri"/>
                <w:sz w:val="22"/>
                <w:highlight w:val="yellow"/>
              </w:rPr>
              <w:t xml:space="preserve"> [09900, Painting and Protective Coatings]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Applied by pipe manufacturer.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Bracing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degree spiders set 600 mm from each end and at the one-third point capable of withstanding backfill loadings. Bracing at one-third point not required for sections less than 3 metres in length.</w:t>
            </w:r>
          </w:p>
        </w:tc>
      </w:tr>
      <w:tr>
        <w:trPr>
          <w:wAfter w:w="0" w:type="dxa"/>
          <w:trHeight w:hRule="atLeast" w:val="2001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Sized Bell and Spigot Rings: AWWA C303-08, Section 2.6 and 3.3.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1,448 mm diameter.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Spigot Rings: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ind w:left="288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Carnegie M3516 for cylinder thickness 10 mm or less.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ind w:left="288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Carnegie M3818 for cylinder thickness over 10 mm. Double fillet weld lap joint.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 Ring Thickness: Minimum of 5 mm or cylinder thickness.</w:t>
            </w:r>
          </w:p>
        </w:tc>
      </w:tr>
      <w:tr>
        <w:trPr>
          <w:wAfter w:w="0" w:type="dxa"/>
          <w:trHeight w:hRule="atLeast" w:val="1376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Expanded Bell and Spigot Rings: AWWA C303-08, Section 2.6 and 3.3.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1,500 mm diameter and maximum cylinder thickness 8 mm.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Spigot Rings: Carnegie M3516.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 Ring Thickness: Minimum of 5 mm or cylinder thickness.</w:t>
            </w:r>
          </w:p>
        </w:tc>
      </w:tr>
      <w:tr>
        <w:trPr>
          <w:wAfter w:w="0" w:type="dxa"/>
          <w:trHeight w:hRule="atLeast" w:val="66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Rolled Spigot and Expanded Bell: AWWA C200-12.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 750 mm diameter.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cylinder thickness 6 mm.</w:t>
            </w:r>
          </w:p>
        </w:tc>
      </w:tr>
      <w:tr>
        <w:trPr>
          <w:wAfter w:w="0" w:type="dxa"/>
          <w:trHeight w:hRule="atLeast" w:val="881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Welded: AWWA C200-12. Required for all restrained joints and for pipe over 1,450 mm in diameter. Optional for pipe 750 mm diameter and larger. Butt welded or lap welded using bell-and-spigot or butt strap.</w:t>
            </w:r>
          </w:p>
        </w:tc>
      </w:tr>
      <w:tr>
        <w:trPr>
          <w:wAfter w:w="0" w:type="dxa"/>
          <w:trHeight w:hRule="atLeast" w:val="1691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Flexible Couplings: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1,450 mm diameter. Thicken pipe walls near joints as required for thrust tie lugs, 10 mm minimum.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or Shouldered End: AWWA C606-11, Type B, C, or D. Victaulic coupling for pipe 600 mm or less in diameter. Thicken pipe walls near joints to a thickness of 10 mm minimum (Non-buried only).</w:t>
            </w:r>
          </w:p>
        </w:tc>
      </w:tr>
      <w:tr>
        <w:trPr>
          <w:wAfter w:w="0" w:type="dxa"/>
          <w:trHeight w:hRule="atLeast" w:val="1425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Fabricated: Carbon steel fabricated from pipe in accordance with AWWA C208-12; elbows to have a 22.5-degree maximum miter section angle, minimum of three sections; wyes, tees, crosses, and outlets to be reinforced in accordance with AWWA M-11, Steel Water Pipe: A Guide for Design and Installation (M11), 4</w:t>
            </w:r>
            <w:r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edition, including Errata.</w:t>
            </w:r>
          </w:p>
        </w:tc>
      </w:tr>
      <w:tr>
        <w:trPr>
          <w:wAfter w:w="0" w:type="dxa"/>
          <w:trHeight w:hRule="atLeast" w:val="112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Forged: Butt-welding fittings, ASTM A234/A234M-16, Grade WPB meeting the requirements of ASME B16.9-2012. Fitting wall thickness shall match the thickness of the adjoining pipe. Elbows shall be long radius unless otherwise shown on the Drawings.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AWWA C207-13, Class D (1050 kPa), Class E (1,900 kPa), or Class F (2,100 kPa) hub or ring type.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A307-14e1, Grade A hex head bolts and ASTM A563-15, Grade A hex head nuts.</w:t>
            </w:r>
          </w:p>
        </w:tc>
      </w:tr>
      <w:tr>
        <w:trPr>
          <w:wAfter w:w="0" w:type="dxa"/>
          <w:trHeight w:hRule="atLeast" w:val="1160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 thick, unless otherwise specified on the Drawings, red rubber (SBR), hardness 80 (Shore A), rated to 93 degrees Celsius, conforming to the requirements of ASME B16.21-2016, AWWA C207-13, and ASTM D1330-04(2015), Grades 1 and 2.</w:t>
            </w:r>
          </w:p>
        </w:tc>
      </w:tr>
      <w:tr>
        <w:trPr>
          <w:wAfter w:w="0" w:type="dxa"/>
          <w:trHeight w:hRule="atLeast" w:val="121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 Service: 3 mm thick, unless otherwise specified in the Contract Documents, homogeneous black rubber (EPDM), hardness 60 (Shore A), rated to 150 degrees C., conforming to the requirements of ASME B16.21-2016 and ASTM D1330-04(2015) Steam Grade.</w:t>
            </w:r>
          </w:p>
        </w:tc>
      </w:tr>
      <w:tr>
        <w:trPr>
          <w:wAfter w:w="0" w:type="dxa"/>
          <w:trHeight w:hRule="atLeast" w:val="65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 thickness for AWWA C207-13, Class E and Class F flanges shall be 1.5 mm thick.</w:t>
            </w:r>
          </w:p>
        </w:tc>
      </w:tr>
      <w:tr>
        <w:trPr>
          <w:wAfter w:w="0" w:type="dxa"/>
          <w:trHeight w:hRule="atLeast" w:val="66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Ring gaskets shall not be permitted. Blind flanges shall be gasketed covering the entire inside face with the gasket cemented to the blind flange.</w:t>
            </w:r>
          </w:p>
        </w:tc>
      </w:tr>
      <w:tr>
        <w:trPr>
          <w:wAfter w:w="0" w:type="dxa"/>
          <w:trHeight w:hRule="atLeast" w:val="557"/>
        </w:trPr>
        <w:tc>
          <w:tcPr>
            <w:tcW w:w="1853" w:type="dxa"/>
            <w:vMerge w:val="continue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Bell-and-Spigot Joints: Synthetic rubber conforming to the requirements of AWWA C303-08.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WELDED STEEL</w:t>
    </w:r>
    <w:r>
      <w:rPr>
        <w:rFonts w:ascii="Calibri" w:hAnsi="Calibri"/>
        <w:b w:val="1"/>
        <w:sz w:val="22"/>
      </w:rPr>
      <w:t xml:space="preserve"> PIPE AND 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Style w:val="C5"/>
        <w:rFonts w:ascii="Calibri" w:hAnsi="Calibri"/>
        <w:caps w:val="1"/>
        <w:sz w:val="22"/>
      </w:rPr>
      <w:t>3</w:t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WELDED STEEL PIPE AND FITTINGS</w:t>
    </w:r>
    <w:r>
      <w:rPr>
        <w:rFonts w:ascii="Calibri" w:hAnsi="Calibri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15200-04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2017-05-23</w:t>
    </w:r>
    <w:r>
      <w:rPr>
        <w:rFonts w:ascii="Calibri" w:hAnsi="Calibri"/>
        <w:b w:val="1"/>
        <w:sz w:val="22"/>
      </w:rPr>
      <w:tab/>
      <w:t>WELDED STEEL PIPE AND FITTINGS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  <w:highlight w:val="yellow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0B31B4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6A711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6EDC3B8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9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Normal Table Text"/>
    <w:basedOn w:val="P0"/>
    <w:next w:val="P25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6">
    <w:name w:val="Balloon Text"/>
    <w:basedOn w:val="P0"/>
    <w:next w:val="P26"/>
    <w:link w:val="C11"/>
    <w:pPr/>
    <w:rPr>
      <w:rFonts w:ascii="Tahoma" w:hAnsi="Tahoma"/>
      <w:sz w:val="16"/>
    </w:rPr>
  </w:style>
  <w:style w:type="paragraph" w:styleId="P27">
    <w:name w:val="Bullet"/>
    <w:basedOn w:val="P5"/>
    <w:next w:val="P5"/>
    <w:pPr/>
    <w:rPr/>
  </w:style>
  <w:style w:type="paragraph" w:styleId="P28">
    <w:name w:val="CSA"/>
    <w:basedOn w:val="P5"/>
    <w:next w:val="P34"/>
    <w:pPr>
      <w:keepNext w:val="1"/>
      <w:spacing w:after="0"/>
    </w:pPr>
    <w:rPr>
      <w:b w:val="1"/>
      <w:caps w:val="1"/>
      <w:sz w:val="20"/>
    </w:rPr>
  </w:style>
  <w:style w:type="paragraph" w:styleId="P29">
    <w:name w:val="Footnote Text"/>
    <w:basedOn w:val="P5"/>
    <w:next w:val="P29"/>
    <w:pPr>
      <w:spacing w:after="0"/>
    </w:pPr>
    <w:rPr>
      <w:rFonts w:ascii="Arial" w:hAnsi="Arial"/>
      <w:sz w:val="16"/>
    </w:rPr>
  </w:style>
  <w:style w:type="paragraph" w:styleId="P30">
    <w:name w:val="Number"/>
    <w:basedOn w:val="P5"/>
    <w:next w:val="P5"/>
    <w:pPr>
      <w:spacing w:after="0"/>
      <w:ind w:hanging="360" w:left="360"/>
    </w:pPr>
    <w:rPr/>
  </w:style>
  <w:style w:type="paragraph" w:styleId="P31">
    <w:name w:val="Tick"/>
    <w:basedOn w:val="P5"/>
    <w:next w:val="P5"/>
    <w:pPr>
      <w:spacing w:after="0"/>
      <w:ind w:hanging="360" w:left="720"/>
    </w:pPr>
    <w:rPr/>
  </w:style>
  <w:style w:type="paragraph" w:styleId="P32">
    <w:name w:val="TOC 1"/>
    <w:basedOn w:val="P5"/>
    <w:next w:val="P47"/>
    <w:pPr>
      <w:tabs>
        <w:tab w:val="right" w:pos="8640" w:leader="dot"/>
      </w:tabs>
      <w:spacing w:after="0"/>
    </w:pPr>
    <w:rPr>
      <w:b w:val="1"/>
    </w:rPr>
  </w:style>
  <w:style w:type="paragraph" w:styleId="P33">
    <w:name w:val="Comment Subject"/>
    <w:basedOn w:val="P6"/>
    <w:next w:val="P6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34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5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6">
    <w:name w:val="Heading 3"/>
    <w:basedOn w:val="P8"/>
    <w:next w:val="P36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7">
    <w:name w:val="Heading 4"/>
    <w:basedOn w:val="P8"/>
    <w:next w:val="P37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8">
    <w:name w:val="Heading 5"/>
    <w:basedOn w:val="P8"/>
    <w:next w:val="P38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9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0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1">
    <w:name w:val="Exhibit--Number"/>
    <w:basedOn w:val="P8"/>
    <w:next w:val="P49"/>
    <w:pPr>
      <w:spacing w:before="160"/>
    </w:pPr>
    <w:rPr>
      <w:caps w:val="1"/>
      <w:sz w:val="18"/>
    </w:rPr>
  </w:style>
  <w:style w:type="paragraph" w:styleId="P42">
    <w:name w:val="Title"/>
    <w:basedOn w:val="P8"/>
    <w:next w:val="P42"/>
    <w:qFormat/>
    <w:pPr>
      <w:keepNext w:val="1"/>
      <w:spacing w:before="160" w:after="30"/>
    </w:pPr>
    <w:rPr>
      <w:sz w:val="20"/>
    </w:rPr>
  </w:style>
  <w:style w:type="paragraph" w:styleId="P43">
    <w:name w:val="Table Body"/>
    <w:basedOn w:val="P13"/>
    <w:next w:val="P43"/>
    <w:pPr>
      <w:jc w:val="left"/>
    </w:pPr>
    <w:rPr>
      <w:b w:val="0"/>
    </w:rPr>
  </w:style>
  <w:style w:type="paragraph" w:styleId="P44">
    <w:name w:val="Table Heading"/>
    <w:basedOn w:val="P22"/>
    <w:next w:val="P44"/>
    <w:pPr>
      <w:jc w:val="center"/>
    </w:pPr>
    <w:rPr>
      <w:b w:val="1"/>
    </w:rPr>
  </w:style>
  <w:style w:type="paragraph" w:styleId="P45">
    <w:name w:val="Table Heading2"/>
    <w:basedOn w:val="P22"/>
    <w:next w:val="P45"/>
    <w:pPr>
      <w:jc w:val="center"/>
    </w:pPr>
    <w:rPr>
      <w:b w:val="1"/>
    </w:rPr>
  </w:style>
  <w:style w:type="paragraph" w:styleId="P46">
    <w:name w:val="List Bullet"/>
    <w:basedOn w:val="P27"/>
    <w:next w:val="P46"/>
    <w:pPr>
      <w:numPr>
        <w:numId w:val="2"/>
      </w:numPr>
    </w:pPr>
    <w:rPr/>
  </w:style>
  <w:style w:type="paragraph" w:styleId="P47">
    <w:name w:val="TOC 2"/>
    <w:basedOn w:val="P32"/>
    <w:next w:val="P51"/>
    <w:pPr>
      <w:tabs>
        <w:tab w:val="left" w:pos="1008" w:leader="none"/>
      </w:tabs>
      <w:ind w:left="720"/>
    </w:pPr>
    <w:rPr>
      <w:b w:val="0"/>
    </w:rPr>
  </w:style>
  <w:style w:type="paragraph" w:styleId="P48">
    <w:name w:val="Contents"/>
    <w:basedOn w:val="P34"/>
    <w:next w:val="P5"/>
    <w:pPr/>
    <w:rPr/>
  </w:style>
  <w:style w:type="paragraph" w:styleId="P49">
    <w:name w:val="Exhibit--Title"/>
    <w:basedOn w:val="P41"/>
    <w:next w:val="P52"/>
    <w:pPr>
      <w:spacing w:before="0"/>
    </w:pPr>
    <w:rPr>
      <w:b w:val="1"/>
      <w:caps w:val="0"/>
      <w:sz w:val="20"/>
    </w:rPr>
  </w:style>
  <w:style w:type="paragraph" w:styleId="P50">
    <w:name w:val="Table Notes"/>
    <w:basedOn w:val="P43"/>
    <w:next w:val="P50"/>
    <w:pPr>
      <w:spacing w:after="320"/>
    </w:pPr>
    <w:rPr/>
  </w:style>
  <w:style w:type="paragraph" w:styleId="P51">
    <w:name w:val="TOC 3"/>
    <w:basedOn w:val="P47"/>
    <w:next w:val="P51"/>
    <w:pPr>
      <w:tabs>
        <w:tab w:val="clear" w:pos="1008" w:leader="none"/>
        <w:tab w:val="left" w:pos="1728" w:leader="none"/>
      </w:tabs>
      <w:ind w:left="1440"/>
    </w:pPr>
    <w:rPr/>
  </w:style>
  <w:style w:type="paragraph" w:styleId="P52">
    <w:name w:val="Exhibit--Caption"/>
    <w:basedOn w:val="P49"/>
    <w:next w:val="P5"/>
    <w:pPr/>
    <w:rPr>
      <w:i w:val="1"/>
    </w:rPr>
  </w:style>
  <w:style w:type="paragraph" w:styleId="P53">
    <w:name w:val="TOC 4"/>
    <w:basedOn w:val="P51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6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6"/>
    <w:rPr>
      <w:rFonts w:ascii="Arial" w:hAnsi="Arial"/>
    </w:rPr>
  </w:style>
  <w:style w:type="character" w:styleId="C10">
    <w:name w:val="Comment Subject Char"/>
    <w:link w:val="P33"/>
    <w:rPr>
      <w:rFonts w:ascii="Times New Roman" w:hAnsi="Times New Roman"/>
      <w:b w:val="1"/>
      <w:sz w:val="20"/>
    </w:rPr>
  </w:style>
  <w:style w:type="character" w:styleId="C11">
    <w:name w:val="Balloon Text Char"/>
    <w:link w:val="P26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2017-05-23T16:58:00Z</dcterms:created>
  <cp:lastModifiedBy>Ray</cp:lastModifiedBy>
  <cp:lastPrinted>2015-04-01T13:55:00Z</cp:lastPrinted>
  <dcterms:modified xsi:type="dcterms:W3CDTF">2022-10-04T19:39:02Z</dcterms:modified>
  <cp:revision>3</cp:revision>
  <dc:title>15200-04_Welded_Steel_Pipe_And_Fittings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ENVCPD-83-1404</vt:lpwstr>
  </property>
  <property fmtid="{D5CDD505-2E9C-101B-9397-08002B2CF9AE}" pid="5" name="_dlc_DocIdItemGuid">
    <vt:lpwstr>48f7d2f7-28dc-4575-a632-ac94c9fa7daf</vt:lpwstr>
  </property>
  <property fmtid="{D5CDD505-2E9C-101B-9397-08002B2CF9AE}" pid="6" name="_dlc_DocIdUrl">
    <vt:lpwstr>https://mycloud.york.ca/projects/EnvServProgramDeliveryOffice/ProjectServer/AEL/_layouts/DocIdRedir.aspx?ID=ENVCPD-83-1404, ENVCPD-83-1404</vt:lpwstr>
  </property>
</Properties>
</file>