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CD88FE" Type="http://schemas.openxmlformats.org/officeDocument/2006/relationships/officeDocument" Target="/word/document.xml" /><Relationship Id="coreR1FCD88FE" Type="http://schemas.openxmlformats.org/package/2006/relationships/metadata/core-properties" Target="/docProps/core.xml" /><Relationship Id="customR1FCD88F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</w:t>
            </w:r>
            <w:r>
              <w:rPr>
                <w:rFonts w:ascii="Calibri" w:hAnsi="Calibri"/>
                <w:b w:val="1"/>
                <w:sz w:val="22"/>
              </w:rPr>
              <w:t>64</w:t>
            </w:r>
            <w:r>
              <w:rPr>
                <w:rFonts w:ascii="Calibri" w:hAnsi="Calibri"/>
                <w:b w:val="1"/>
                <w:sz w:val="22"/>
              </w:rPr>
              <w:t>-v</w:t>
            </w:r>
            <w:r>
              <w:rPr>
                <w:rFonts w:ascii="Calibri" w:hAnsi="Calibri"/>
                <w:b w:val="1"/>
                <w:sz w:val="22"/>
              </w:rPr>
              <w:t>3A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: ASME B16.11-2016, ASME B36.19-2004 (R2015), ASTM A182/A182M-16a , ASTM A193/A193M-16 , ASTM A312/A312M-17, ASTM A403/A403M-16, MSS SP-43-2013/AM 2015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(CPD, OMM)</w:t>
            </w:r>
          </w:p>
        </w:tc>
      </w:tr>
    </w:tbl>
    <w:p>
      <w:pPr>
        <w:pStyle w:val="P38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8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9360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180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58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800" w:type="dxa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850" w:type="dxa"/>
            <w:tcBorders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A312/A312M-17, Type 316L seamless, pickled and passivated,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 10S: ASTM A312/A312M-17, Type 316L seamless or straight-seam welded, pickled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Below grade, all sizes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A312/A312M-17, Type 316L seamless or straight-seam welded, pickled and passivated, conforming to the requirements of ASME B36.19-2004 (R2015).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Butt-welded; threaded or flanged at valves and equipment as required or shown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Butt-welded; flanged at valves and equipment.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Butt-welded: ASTM A403/A403M-16 Type 316L conforming to the requirements of ANSI/ASME B16.9-2012 and MSS SP-43-2013/AM 2015, pickled and passivated; Schedule 10S or 40S to match adjoining pipe; smooth flow type elbows and tees; long radius elbows unless shown otherwise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tee or reducing tee in conformance with Fittings above; weld-o-let where indicated on the Drawings.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 mm 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 A182/A182M-16a, Grade F316, 13,800 or 20,700 kPag WOG, integral ground seats, Association of American Railroads (AAR) design meeting the requirements of ASME B16.11-2016, bore to match pipe.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13,800 kPag- or 20,700 kPag WOG, integral ground seats, AAR design meeting the requirements of ANSI B16.11-2016, bore to match pipe.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Type 304 stainless steel, ASTM A193/A193M-16 Grade B8M hex head bolts and ASTM A194/A194M-16 Grade 8M hex head nuts; Type 304 stainless steel flat washers under all bolt heads and nuts.</w:t>
            </w:r>
          </w:p>
        </w:tc>
      </w:tr>
      <w:tr>
        <w:trPr>
          <w:wAfter w:w="0" w:type="dxa"/>
          <w:trHeight w:hRule="atLeast" w:val="795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800" w:type="dxa"/>
            <w:vMerge w:val="restart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 to 75 degrees Celsius: 3 mm thick, unless otherwise specified on the Drawings, full face, premium grade neoprene, minimum hardness 40 (Shore A).</w:t>
            </w:r>
          </w:p>
        </w:tc>
      </w:tr>
      <w:tr>
        <w:trPr>
          <w:wAfter w:w="0" w:type="dxa"/>
          <w:trHeight w:hRule="atLeast" w:val="827"/>
        </w:trPr>
        <w:tc>
          <w:tcPr>
            <w:tcW w:w="1710" w:type="dxa"/>
            <w:vMerge w:val="continue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vMerge w:val="continue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Greater than 75 degrees Celsius: 3 mm thick, unless otherwise specified on the Drawings, full face, heat resistant, suitable for digester gas.  </w:t>
            </w:r>
          </w:p>
        </w:tc>
      </w:tr>
      <w:tr>
        <w:trPr>
          <w:wAfter w:w="0" w:type="dxa"/>
          <w:trHeight w:hRule="atLeast" w:val="56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800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5850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tabs>
                <w:tab w:val="left" w:pos="701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gasketed, covering the entire inside face with gasket cemented to blind flange.</w:t>
            </w:r>
          </w:p>
        </w:tc>
      </w:tr>
      <w:tr>
        <w:trPr>
          <w:wAfter w:w="0" w:type="dxa"/>
          <w:trHeight w:hRule="atLeast" w:val="255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80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Anti-galling compound on all threads.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</w:t>
    </w:r>
    <w:r>
      <w:rPr>
        <w:rFonts w:ascii="Calibri" w:hAnsi="Calibri"/>
        <w:b w:val="1"/>
        <w:sz w:val="22"/>
      </w:rPr>
      <w:t>DIGESTER GAS</w:t>
    </w:r>
    <w:r>
      <w:rPr>
        <w:rFonts w:ascii="Calibri" w:hAnsi="Calibri"/>
        <w:b w:val="1"/>
        <w:sz w:val="22"/>
      </w:rPr>
      <w:t xml:space="preserve">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</w:t>
    </w:r>
    <w:r>
      <w:rPr>
        <w:rFonts w:ascii="Calibri" w:hAnsi="Calibri"/>
        <w:sz w:val="22"/>
        <w:highlight w:val="yellow"/>
      </w:rPr>
      <w:t>Insert Contract Number</w:t>
    </w:r>
    <w:r>
      <w:rPr>
        <w:rFonts w:ascii="Calibri" w:hAnsi="Calibri"/>
        <w:sz w:val="22"/>
      </w:rPr>
      <w:t>]</w:t>
      <w:tab/>
      <w:tab/>
      <w:t>Section 15200-09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FITTINGS-DIGESTER GAS SERVICE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15200-09</w:t>
      <w:tab/>
      <w:tab/>
      <w:t>CONTRACT NO. [</w:t>
    </w:r>
    <w:r>
      <w:rPr>
        <w:rFonts w:ascii="Calibri" w:hAnsi="Calibri"/>
        <w:sz w:val="22"/>
        <w:highlight w:val="yellow"/>
      </w:rPr>
      <w:t>Insert Contract Number</w:t>
    </w:r>
    <w:r>
      <w:rPr>
        <w:rFonts w:ascii="Calibri" w:hAnsi="Calibri"/>
        <w:sz w:val="22"/>
      </w:rPr>
      <w:t>]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STAINLESS STEEL PIPE AND FITTINGS-DIGESTER GAS SERVICE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3E88E4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4AC512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Normal Table Text"/>
    <w:basedOn w:val="P0"/>
    <w:next w:val="P29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0">
    <w:name w:val="Balloon Text"/>
    <w:basedOn w:val="P0"/>
    <w:next w:val="P30"/>
    <w:link w:val="C9"/>
    <w:pPr/>
    <w:rPr>
      <w:rFonts w:ascii="Tahoma" w:hAnsi="Tahoma"/>
      <w:sz w:val="16"/>
    </w:rPr>
  </w:style>
  <w:style w:type="paragraph" w:styleId="P31">
    <w:name w:val="Bullet"/>
    <w:basedOn w:val="P4"/>
    <w:next w:val="P4"/>
    <w:pPr/>
    <w:rPr/>
  </w:style>
  <w:style w:type="paragraph" w:styleId="P32">
    <w:name w:val="CSA"/>
    <w:basedOn w:val="P4"/>
    <w:next w:val="P38"/>
    <w:pPr>
      <w:keepNext w:val="1"/>
      <w:spacing w:after="0"/>
    </w:pPr>
    <w:rPr>
      <w:b w:val="1"/>
      <w:caps w:val="1"/>
      <w:sz w:val="20"/>
    </w:rPr>
  </w:style>
  <w:style w:type="paragraph" w:styleId="P33">
    <w:name w:val="Footnote Text"/>
    <w:basedOn w:val="P4"/>
    <w:next w:val="P33"/>
    <w:pPr>
      <w:spacing w:after="0"/>
    </w:pPr>
    <w:rPr>
      <w:rFonts w:ascii="Arial" w:hAnsi="Arial"/>
      <w:sz w:val="16"/>
    </w:rPr>
  </w:style>
  <w:style w:type="paragraph" w:styleId="P34">
    <w:name w:val="Number"/>
    <w:basedOn w:val="P4"/>
    <w:next w:val="P4"/>
    <w:pPr>
      <w:spacing w:after="0"/>
      <w:ind w:hanging="360" w:left="360"/>
    </w:pPr>
    <w:rPr/>
  </w:style>
  <w:style w:type="paragraph" w:styleId="P35">
    <w:name w:val="Tick"/>
    <w:basedOn w:val="P4"/>
    <w:next w:val="P4"/>
    <w:pPr>
      <w:spacing w:after="0"/>
      <w:ind w:hanging="360" w:left="720"/>
    </w:pPr>
    <w:rPr/>
  </w:style>
  <w:style w:type="paragraph" w:styleId="P36">
    <w:name w:val="TOC 1"/>
    <w:basedOn w:val="P4"/>
    <w:next w:val="P54"/>
    <w:pPr>
      <w:tabs>
        <w:tab w:val="right" w:pos="8640" w:leader="dot"/>
      </w:tabs>
      <w:spacing w:after="0"/>
    </w:pPr>
    <w:rPr>
      <w:b w:val="1"/>
    </w:rPr>
  </w:style>
  <w:style w:type="paragraph" w:styleId="P37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8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9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0">
    <w:name w:val="Heading 3"/>
    <w:basedOn w:val="P7"/>
    <w:next w:val="P40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1">
    <w:name w:val="Heading 4"/>
    <w:basedOn w:val="P7"/>
    <w:next w:val="P41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2">
    <w:name w:val="Heading 5"/>
    <w:basedOn w:val="P7"/>
    <w:next w:val="P42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3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4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5">
    <w:name w:val="Exhibit--Number"/>
    <w:basedOn w:val="P7"/>
    <w:next w:val="P56"/>
    <w:pPr>
      <w:spacing w:before="160"/>
    </w:pPr>
    <w:rPr>
      <w:caps w:val="1"/>
      <w:sz w:val="18"/>
    </w:rPr>
  </w:style>
  <w:style w:type="paragraph" w:styleId="P46">
    <w:name w:val="Title"/>
    <w:basedOn w:val="P7"/>
    <w:next w:val="P46"/>
    <w:qFormat/>
    <w:pPr>
      <w:keepNext w:val="1"/>
      <w:spacing w:before="160" w:after="30"/>
    </w:pPr>
    <w:rPr>
      <w:sz w:val="20"/>
    </w:rPr>
  </w:style>
  <w:style w:type="paragraph" w:styleId="P47">
    <w:name w:val="Table Body"/>
    <w:basedOn w:val="P12"/>
    <w:next w:val="P47"/>
    <w:pPr>
      <w:jc w:val="left"/>
    </w:pPr>
    <w:rPr>
      <w:b w:val="0"/>
    </w:rPr>
  </w:style>
  <w:style w:type="paragraph" w:styleId="P48">
    <w:name w:val="Table Heading"/>
    <w:basedOn w:val="P21"/>
    <w:next w:val="P48"/>
    <w:pPr>
      <w:jc w:val="center"/>
    </w:pPr>
    <w:rPr>
      <w:b w:val="1"/>
    </w:rPr>
  </w:style>
  <w:style w:type="paragraph" w:styleId="P49">
    <w:name w:val="Table Heading2"/>
    <w:basedOn w:val="P21"/>
    <w:next w:val="P49"/>
    <w:pPr>
      <w:jc w:val="center"/>
    </w:pPr>
    <w:rPr>
      <w:b w:val="1"/>
    </w:rPr>
  </w:style>
  <w:style w:type="paragraph" w:styleId="P50">
    <w:name w:val="Table Heading4"/>
    <w:basedOn w:val="P21"/>
    <w:next w:val="P50"/>
    <w:pPr>
      <w:jc w:val="center"/>
    </w:pPr>
    <w:rPr>
      <w:b w:val="1"/>
    </w:rPr>
  </w:style>
  <w:style w:type="paragraph" w:styleId="P51">
    <w:name w:val="Table Heading5"/>
    <w:basedOn w:val="P21"/>
    <w:next w:val="P51"/>
    <w:pPr>
      <w:jc w:val="center"/>
    </w:pPr>
    <w:rPr>
      <w:b w:val="1"/>
    </w:rPr>
  </w:style>
  <w:style w:type="paragraph" w:styleId="P52">
    <w:name w:val="Table Heading6"/>
    <w:basedOn w:val="P21"/>
    <w:next w:val="P52"/>
    <w:pPr>
      <w:jc w:val="center"/>
    </w:pPr>
    <w:rPr>
      <w:b w:val="1"/>
    </w:rPr>
  </w:style>
  <w:style w:type="paragraph" w:styleId="P53">
    <w:name w:val="List Bullet"/>
    <w:basedOn w:val="P31"/>
    <w:next w:val="P53"/>
    <w:pPr>
      <w:numPr>
        <w:numId w:val="2"/>
      </w:numPr>
    </w:pPr>
    <w:rPr/>
  </w:style>
  <w:style w:type="paragraph" w:styleId="P54">
    <w:name w:val="TOC 2"/>
    <w:basedOn w:val="P36"/>
    <w:next w:val="P58"/>
    <w:pPr>
      <w:tabs>
        <w:tab w:val="left" w:pos="1008" w:leader="none"/>
      </w:tabs>
      <w:ind w:left="720"/>
    </w:pPr>
    <w:rPr>
      <w:b w:val="0"/>
    </w:rPr>
  </w:style>
  <w:style w:type="paragraph" w:styleId="P55">
    <w:name w:val="Contents"/>
    <w:basedOn w:val="P38"/>
    <w:next w:val="P4"/>
    <w:pPr/>
    <w:rPr/>
  </w:style>
  <w:style w:type="paragraph" w:styleId="P56">
    <w:name w:val="Exhibit--Title"/>
    <w:basedOn w:val="P45"/>
    <w:next w:val="P59"/>
    <w:pPr>
      <w:spacing w:before="0"/>
    </w:pPr>
    <w:rPr>
      <w:b w:val="1"/>
      <w:caps w:val="0"/>
      <w:sz w:val="20"/>
    </w:rPr>
  </w:style>
  <w:style w:type="paragraph" w:styleId="P57">
    <w:name w:val="Table Notes"/>
    <w:basedOn w:val="P47"/>
    <w:next w:val="P57"/>
    <w:pPr>
      <w:spacing w:after="320"/>
    </w:pPr>
    <w:rPr/>
  </w:style>
  <w:style w:type="paragraph" w:styleId="P58">
    <w:name w:val="TOC 3"/>
    <w:basedOn w:val="P54"/>
    <w:next w:val="P58"/>
    <w:pPr>
      <w:tabs>
        <w:tab w:val="clear" w:pos="1008" w:leader="none"/>
        <w:tab w:val="left" w:pos="1728" w:leader="none"/>
      </w:tabs>
      <w:ind w:left="1440"/>
    </w:pPr>
    <w:rPr/>
  </w:style>
  <w:style w:type="paragraph" w:styleId="P59">
    <w:name w:val="Exhibit--Caption"/>
    <w:basedOn w:val="P56"/>
    <w:next w:val="P4"/>
    <w:pPr/>
    <w:rPr>
      <w:i w:val="1"/>
    </w:rPr>
  </w:style>
  <w:style w:type="paragraph" w:styleId="P60">
    <w:name w:val="TOC 4"/>
    <w:basedOn w:val="P58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0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0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7"/>
    <w:rPr>
      <w:rFonts w:ascii="Times New Roman" w:hAnsi="Times New Roman"/>
      <w:b w:val="1"/>
      <w:sz w:val="20"/>
    </w:rPr>
  </w:style>
  <w:style w:type="character" w:styleId="C12">
    <w:name w:val="FollowedHyperlink"/>
    <w:rPr>
      <w:color w:val="800080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2017-08-17T18:17:00Z</dcterms:created>
  <cp:lastModifiedBy>Ray</cp:lastModifiedBy>
  <cp:lastPrinted>2015-06-18T18:47:00Z</cp:lastPrinted>
  <dcterms:modified xsi:type="dcterms:W3CDTF">2022-10-04T19:39:02Z</dcterms:modified>
  <cp:revision>5</cp:revision>
  <dc:title>15200-09_Stainless_Steel_Pipe_And_Fittings-Digester_Gas_Service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ENVCPD-83-1409</vt:lpwstr>
  </property>
  <property fmtid="{D5CDD505-2E9C-101B-9397-08002B2CF9AE}" pid="5" name="_dlc_DocIdItemGuid">
    <vt:lpwstr>ee376fe8-ad71-46d1-8808-652f4b9f2262</vt:lpwstr>
  </property>
  <property fmtid="{D5CDD505-2E9C-101B-9397-08002B2CF9AE}" pid="6" name="_dlc_DocIdUrl">
    <vt:lpwstr>https://mycloud.york.ca/projects/EnvServProgramDeliveryOffice/ProjectServer/AEL/_layouts/DocIdRedir.aspx?ID=ENVCPD-83-1409, ENVCPD-83-1409</vt:lpwstr>
  </property>
  <property fmtid="{D5CDD505-2E9C-101B-9397-08002B2CF9AE}" pid="7" name="ContentTypeId">
    <vt:lpwstr>0x0101001E76F5F51B06864FADA04BB3B6DF741B</vt:lpwstr>
  </property>
</Properties>
</file>