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58AD750" Type="http://schemas.openxmlformats.org/officeDocument/2006/relationships/officeDocument" Target="/word/document.xml" /><Relationship Id="coreR258AD750" Type="http://schemas.openxmlformats.org/package/2006/relationships/metadata/core-properties" Target="/docProps/core.xml" /><Relationship Id="customR258AD750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15, 2011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changes from Legal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18,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comments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#5823669-v4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references to standards ASME B16.15-2013, ASME B16.22-2013, ASME B16.24-2016, ASTM A307-14e1, ASTM A320/A320M-17a, ASTM A563-15, ASTM B43-15, ASTM B61-15, ASTM B62-17 </w:t>
            </w:r>
            <w:r>
              <w:rPr>
                <w:rFonts w:ascii="Calibri" w:hAnsi="Calibri"/>
                <w:b w:val="1"/>
                <w:sz w:val="22"/>
              </w:rPr>
              <w:t>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7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16,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listed products (CPD, OMM)</w:t>
            </w:r>
          </w:p>
        </w:tc>
      </w:tr>
    </w:tbl>
    <w:p>
      <w:pPr>
        <w:pStyle w:val="P42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42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255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6750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left w:val="double" w:sz="6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6750" w:type="dxa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clear" w:pos="2016" w:leader="none"/>
                <w:tab w:val="clear" w:pos="2592" w:leader="none"/>
                <w:tab w:val="clear" w:pos="3168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Oxygen Service: Red brass, seamless, standard wall thickness, conforming to the requirements of ASTM B43-15.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Tubing</w:t>
            </w:r>
          </w:p>
        </w:tc>
        <w:tc>
          <w:tcPr>
            <w:tcW w:w="675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 w:after="12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Seamless, conforming to the requirements of ASTM B88-14 as follows: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Oxygen service</w:t>
              <w:tab/>
              <w:t>Type K,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 xml:space="preserve">No. 1 water (buried) </w:t>
              <w:tab/>
              <w:t>Type K, soft or hard temper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No. 1 water (exposed)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Domestic hot water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Compressed air service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Laboratory air service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Laboratory vacuum service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Refrigerant service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P-Trap priming service</w:t>
              <w:tab/>
              <w:t>Type L, soft temper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Sample line service</w:t>
              <w:tab/>
              <w:t>Type L, hard drawn</w:t>
            </w:r>
          </w:p>
          <w:p>
            <w:pPr>
              <w:pStyle w:val="P32"/>
              <w:tabs>
                <w:tab w:val="left" w:pos="697" w:leader="none"/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left" w:pos="3577" w:leader="dot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left" w:pos="6480" w:leader="hyphen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Laboratory gas service</w:t>
              <w:tab/>
              <w:t>Type L, hard drawn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2"/>
              <w:tabs>
                <w:tab w:val="clear" w:pos="1440" w:leader="none"/>
                <w:tab w:val="clear" w:pos="2016" w:leader="none"/>
                <w:tab w:val="clear" w:pos="2592" w:leader="none"/>
                <w:tab w:val="clear" w:pos="3168" w:leader="none"/>
                <w:tab w:val="clear" w:pos="3744" w:leader="none"/>
                <w:tab w:val="clear" w:pos="4320" w:leader="none"/>
                <w:tab w:val="clear" w:pos="4896" w:leader="none"/>
                <w:tab w:val="clear" w:pos="5472" w:leader="none"/>
                <w:tab w:val="clear" w:pos="6048" w:leader="none"/>
                <w:tab w:val="clear" w:pos="6624" w:leader="none"/>
                <w:tab w:val="clear" w:pos="7200" w:leader="none"/>
                <w:tab w:val="clear" w:pos="7776" w:leader="none"/>
                <w:tab w:val="clear" w:pos="8352" w:leader="none"/>
              </w:tabs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6750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Oxygen Service: Bronze, screwed, 1725 kPag conforming to the requirements of ASTM B62-17, dimensions conforming to the requirements of ASME B16.15-2013 or wrought copper, socket joint, conforming to the requirements of ASTM B75/B75M-11, dimensions conforming to the requirements of ASME B16.22-2013.</w:t>
            </w:r>
          </w:p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Other Services: Commercially pure wrought copper, socket joint, conforming to ASTM B75/B75M-11, dimensions conforming to ASME B16.22-2013.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67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Oxygen Service: Bronze, screwed, conforming to the requirements of ASTM B61-15, faced and drilled Class 150 ASME B16.24-2016 standard.</w:t>
            </w:r>
          </w:p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Other Services: Commercially pure wrought copper, socket joint, conforming to the requirements of ASTM B75/B75M-11, faced and drilled Class 150 ASME B16.24-2016 standard.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6750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Oxygen Service: ASTM A320/A320M-17a, stainless steel Type 304, Grade B8 bolts with copper silicon hex nuts conforming to the requirements of ASTM B98/B98M-13 Grade A hard.</w:t>
            </w:r>
          </w:p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Other Services: ASTM A307-14e1, carbon steel, Grade A hex head bolts and ASTM A563-15 Grade A hex head nuts.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top w:val="single" w:sz="4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6750" w:type="dxa"/>
            <w:tcBorders>
              <w:top w:val="single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1.5 mm thick non-asbestos compression type, full face.</w:t>
            </w:r>
          </w:p>
        </w:tc>
      </w:tr>
      <w:tr>
        <w:trPr>
          <w:wAfter w:w="0" w:type="dxa"/>
        </w:trPr>
        <w:tc>
          <w:tcPr>
            <w:tcW w:w="2255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32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Solder</w:t>
            </w:r>
          </w:p>
        </w:tc>
        <w:tc>
          <w:tcPr>
            <w:tcW w:w="67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Oxygen Service: Silver brazing alloy, 15 percent silver content, 640 degrees Celsius to 705 degrees Celsius melting range, conforming to the requirements of AWS A5.8M/A5.8:2011 and amendments AMD 1.</w:t>
            </w:r>
          </w:p>
          <w:p>
            <w:pPr>
              <w:pStyle w:val="P32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Other Services: 95-5 wire solder (95 percent tin, 5 percent antimony), conforming to the requirements of ASTM B32-08(2014) Grade 95TA. Do not use cored solder.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NO. [</w:t>
    </w:r>
    <w:r>
      <w:rPr>
        <w:rFonts w:ascii="Calibri" w:hAnsi="Calibri"/>
        <w:sz w:val="22"/>
        <w:highlight w:val="yellow"/>
      </w:rPr>
      <w:t>Insert Contract Number]</w:t>
    </w:r>
    <w:r>
      <w:rPr>
        <w:rFonts w:ascii="Calibri" w:hAnsi="Calibri"/>
        <w:sz w:val="22"/>
      </w:rPr>
      <w:tab/>
      <w:tab/>
      <w:t>Section 15200-14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  <w:t>COPPER AND COPPER ALLOY PIPE, TUBING, AND FITTINGS</w:t>
    </w:r>
    <w:r>
      <w:rPr>
        <w:rFonts w:ascii="Calibri" w:hAnsi="Calibri"/>
        <w:sz w:val="22"/>
      </w:rPr>
      <w:tab/>
    </w:r>
    <w:r>
      <w:rPr>
        <w:rFonts w:ascii="Calibri" w:hAnsi="Calibri"/>
      </w:rPr>
      <w:t>2014-08-18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NO. [</w:t>
    </w:r>
    <w:r>
      <w:rPr>
        <w:rFonts w:ascii="Calibri" w:hAnsi="Calibri"/>
        <w:sz w:val="22"/>
        <w:highlight w:val="yellow"/>
      </w:rPr>
      <w:t>Insert Contract Number]</w:t>
    </w:r>
    <w:r>
      <w:rPr>
        <w:rFonts w:ascii="Calibri" w:hAnsi="Calibri"/>
        <w:sz w:val="22"/>
      </w:rPr>
      <w:tab/>
      <w:tab/>
      <w:t>Section 15200-14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  <w:t>COPPER AND COPPER ALLOY PIPE, TUBING, AND FITTINGS</w:t>
    </w:r>
    <w:r>
      <w:rPr>
        <w:rFonts w:ascii="Calibri" w:hAnsi="Calibri"/>
        <w:sz w:val="22"/>
      </w:rPr>
      <w:tab/>
      <w:t>2017-08-16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Section 15200-14</w:t>
      <w:tab/>
      <w:tab/>
      <w:t>CONTRACT NO. [</w:t>
    </w:r>
    <w:r>
      <w:rPr>
        <w:rFonts w:ascii="Calibri" w:hAnsi="Calibri"/>
        <w:sz w:val="22"/>
        <w:highlight w:val="yellow"/>
      </w:rPr>
      <w:t>Insert Contract Number]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2017-08-16</w:t>
    </w:r>
    <w:r>
      <w:rPr>
        <w:rFonts w:ascii="Calibri" w:hAnsi="Calibri"/>
        <w:b w:val="1"/>
        <w:sz w:val="22"/>
      </w:rPr>
      <w:tab/>
      <w:t>COPPER AND COPPER ALLOY PIPE, TUBING, AND FITTINGS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  <w:tab/>
      <w:tab/>
      <w:tab/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 xml:space="preserve"> 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7AD2575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50D758A"/>
    <w:multiLevelType w:val="multilevel"/>
    <w:lvl w:ilvl="0">
      <w:start w:val="1"/>
      <w:numFmt w:val="decimal"/>
      <w:suff w:val="tab"/>
      <w:lvlText w:val="%1."/>
      <w:lvlJc w:val="left"/>
      <w:pPr>
        <w:ind w:hanging="360" w:left="787"/>
      </w:pPr>
      <w:rPr/>
    </w:lvl>
    <w:lvl w:ilvl="1">
      <w:start w:val="1"/>
      <w:numFmt w:val="lowerLetter"/>
      <w:suff w:val="tab"/>
      <w:lvlText w:val="%2."/>
      <w:lvlJc w:val="left"/>
      <w:pPr>
        <w:ind w:hanging="360" w:left="1507"/>
      </w:pPr>
      <w:rPr/>
    </w:lvl>
    <w:lvl w:ilvl="2">
      <w:start w:val="1"/>
      <w:numFmt w:val="lowerRoman"/>
      <w:suff w:val="tab"/>
      <w:lvlText w:val="%3."/>
      <w:lvlJc w:val="right"/>
      <w:pPr>
        <w:ind w:hanging="180" w:left="2227"/>
      </w:pPr>
      <w:rPr/>
    </w:lvl>
    <w:lvl w:ilvl="3">
      <w:start w:val="1"/>
      <w:numFmt w:val="decimal"/>
      <w:suff w:val="tab"/>
      <w:lvlText w:val="%4."/>
      <w:lvlJc w:val="left"/>
      <w:pPr>
        <w:ind w:hanging="360" w:left="2947"/>
      </w:pPr>
      <w:rPr/>
    </w:lvl>
    <w:lvl w:ilvl="4">
      <w:start w:val="1"/>
      <w:numFmt w:val="lowerLetter"/>
      <w:suff w:val="tab"/>
      <w:lvlText w:val="%5."/>
      <w:lvlJc w:val="left"/>
      <w:pPr>
        <w:ind w:hanging="360" w:left="3667"/>
      </w:pPr>
      <w:rPr/>
    </w:lvl>
    <w:lvl w:ilvl="5">
      <w:start w:val="1"/>
      <w:numFmt w:val="lowerRoman"/>
      <w:suff w:val="tab"/>
      <w:lvlText w:val="%6."/>
      <w:lvlJc w:val="right"/>
      <w:pPr>
        <w:ind w:hanging="180" w:left="4387"/>
      </w:pPr>
      <w:rPr/>
    </w:lvl>
    <w:lvl w:ilvl="6">
      <w:start w:val="1"/>
      <w:numFmt w:val="decimal"/>
      <w:suff w:val="tab"/>
      <w:lvlText w:val="%7."/>
      <w:lvlJc w:val="left"/>
      <w:pPr>
        <w:ind w:hanging="360" w:left="5107"/>
      </w:pPr>
      <w:rPr/>
    </w:lvl>
    <w:lvl w:ilvl="7">
      <w:start w:val="1"/>
      <w:numFmt w:val="lowerLetter"/>
      <w:suff w:val="tab"/>
      <w:lvlText w:val="%8."/>
      <w:lvlJc w:val="left"/>
      <w:pPr>
        <w:ind w:hanging="360" w:left="5827"/>
      </w:pPr>
      <w:rPr/>
    </w:lvl>
    <w:lvl w:ilvl="8">
      <w:start w:val="1"/>
      <w:numFmt w:val="lowerRoman"/>
      <w:suff w:val="tab"/>
      <w:lvlText w:val="%9."/>
      <w:lvlJc w:val="right"/>
      <w:pPr>
        <w:ind w:hanging="180" w:left="6547"/>
      </w:pPr>
      <w:rPr/>
    </w:lvl>
  </w:abstractNum>
  <w:abstractNum w:abstractNumId="7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9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Table Text6"/>
    <w:basedOn w:val="P0"/>
    <w:next w:val="P26"/>
    <w:pPr>
      <w:spacing w:before="120"/>
    </w:pPr>
    <w:rPr/>
  </w:style>
  <w:style w:type="paragraph" w:styleId="P27">
    <w:name w:val="Table Text7"/>
    <w:basedOn w:val="P0"/>
    <w:next w:val="P27"/>
    <w:pPr>
      <w:spacing w:before="120"/>
    </w:pPr>
    <w:rPr/>
  </w:style>
  <w:style w:type="paragraph" w:styleId="P28">
    <w:name w:val="Table Text8"/>
    <w:basedOn w:val="P0"/>
    <w:next w:val="P28"/>
    <w:pPr>
      <w:spacing w:before="120"/>
    </w:pPr>
    <w:rPr/>
  </w:style>
  <w:style w:type="paragraph" w:styleId="P29">
    <w:name w:val="Table Text9"/>
    <w:basedOn w:val="P0"/>
    <w:next w:val="P29"/>
    <w:pPr>
      <w:spacing w:before="120"/>
    </w:pPr>
    <w:rPr/>
  </w:style>
  <w:style w:type="paragraph" w:styleId="P30">
    <w:name w:val="Table Text10"/>
    <w:basedOn w:val="P0"/>
    <w:next w:val="P30"/>
    <w:pPr>
      <w:spacing w:before="120"/>
    </w:pPr>
    <w:rPr/>
  </w:style>
  <w:style w:type="paragraph" w:styleId="P31">
    <w:name w:val="Table Text11"/>
    <w:basedOn w:val="P0"/>
    <w:next w:val="P31"/>
    <w:pPr>
      <w:spacing w:before="120"/>
    </w:pPr>
    <w:rPr/>
  </w:style>
  <w:style w:type="paragraph" w:styleId="P32">
    <w:name w:val="Table Text14"/>
    <w:basedOn w:val="P0"/>
    <w:next w:val="P32"/>
    <w:pPr>
      <w:spacing w:before="120"/>
    </w:pPr>
    <w:rPr/>
  </w:style>
  <w:style w:type="paragraph" w:styleId="P33">
    <w:name w:val="Normal Table Text"/>
    <w:basedOn w:val="P0"/>
    <w:next w:val="P33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34">
    <w:name w:val="Balloon Text"/>
    <w:basedOn w:val="P0"/>
    <w:next w:val="P34"/>
    <w:pPr/>
    <w:rPr>
      <w:rFonts w:ascii="Tahoma" w:hAnsi="Tahoma"/>
      <w:sz w:val="16"/>
    </w:rPr>
  </w:style>
  <w:style w:type="paragraph" w:styleId="P35">
    <w:name w:val="Bullet"/>
    <w:basedOn w:val="P4"/>
    <w:next w:val="P4"/>
    <w:pPr/>
    <w:rPr/>
  </w:style>
  <w:style w:type="paragraph" w:styleId="P36">
    <w:name w:val="CSA"/>
    <w:basedOn w:val="P4"/>
    <w:next w:val="P42"/>
    <w:pPr>
      <w:keepNext w:val="1"/>
      <w:spacing w:after="0"/>
    </w:pPr>
    <w:rPr>
      <w:b w:val="1"/>
      <w:caps w:val="1"/>
      <w:sz w:val="20"/>
    </w:rPr>
  </w:style>
  <w:style w:type="paragraph" w:styleId="P37">
    <w:name w:val="Footnote Text"/>
    <w:basedOn w:val="P4"/>
    <w:next w:val="P37"/>
    <w:pPr>
      <w:spacing w:after="0"/>
    </w:pPr>
    <w:rPr>
      <w:rFonts w:ascii="Arial" w:hAnsi="Arial"/>
      <w:sz w:val="16"/>
    </w:rPr>
  </w:style>
  <w:style w:type="paragraph" w:styleId="P38">
    <w:name w:val="Number"/>
    <w:basedOn w:val="P4"/>
    <w:next w:val="P4"/>
    <w:pPr>
      <w:spacing w:after="0"/>
      <w:ind w:hanging="360" w:left="360"/>
    </w:pPr>
    <w:rPr/>
  </w:style>
  <w:style w:type="paragraph" w:styleId="P39">
    <w:name w:val="Tick"/>
    <w:basedOn w:val="P4"/>
    <w:next w:val="P4"/>
    <w:pPr>
      <w:spacing w:after="0"/>
      <w:ind w:hanging="360" w:left="720"/>
    </w:pPr>
    <w:rPr/>
  </w:style>
  <w:style w:type="paragraph" w:styleId="P40">
    <w:name w:val="TOC 1"/>
    <w:basedOn w:val="P4"/>
    <w:next w:val="P62"/>
    <w:pPr>
      <w:tabs>
        <w:tab w:val="right" w:pos="8640" w:leader="dot"/>
      </w:tabs>
      <w:spacing w:after="0"/>
    </w:pPr>
    <w:rPr>
      <w:b w:val="1"/>
    </w:rPr>
  </w:style>
  <w:style w:type="paragraph" w:styleId="P41">
    <w:name w:val="Comment Subject"/>
    <w:basedOn w:val="P5"/>
    <w:next w:val="P5"/>
    <w:link w:val="C10"/>
    <w:pPr>
      <w:spacing w:before="0"/>
    </w:pPr>
    <w:rPr>
      <w:rFonts w:ascii="Times New Roman" w:hAnsi="Times New Roman"/>
      <w:b w:val="1"/>
      <w:sz w:val="20"/>
    </w:rPr>
  </w:style>
  <w:style w:type="paragraph" w:styleId="P42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43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44">
    <w:name w:val="Heading 3"/>
    <w:basedOn w:val="P7"/>
    <w:next w:val="P44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45">
    <w:name w:val="Heading 4"/>
    <w:basedOn w:val="P7"/>
    <w:next w:val="P45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46">
    <w:name w:val="Heading 5"/>
    <w:basedOn w:val="P7"/>
    <w:next w:val="P46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7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8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9">
    <w:name w:val="Exhibit--Number"/>
    <w:basedOn w:val="P7"/>
    <w:next w:val="P64"/>
    <w:pPr>
      <w:spacing w:before="160"/>
    </w:pPr>
    <w:rPr>
      <w:caps w:val="1"/>
      <w:sz w:val="18"/>
    </w:rPr>
  </w:style>
  <w:style w:type="paragraph" w:styleId="P50">
    <w:name w:val="Title"/>
    <w:basedOn w:val="P7"/>
    <w:next w:val="P50"/>
    <w:qFormat/>
    <w:pPr>
      <w:keepNext w:val="1"/>
      <w:spacing w:before="160" w:after="30"/>
    </w:pPr>
    <w:rPr>
      <w:sz w:val="20"/>
    </w:rPr>
  </w:style>
  <w:style w:type="paragraph" w:styleId="P51">
    <w:name w:val="Table Body"/>
    <w:basedOn w:val="P12"/>
    <w:next w:val="P51"/>
    <w:pPr>
      <w:jc w:val="left"/>
    </w:pPr>
    <w:rPr>
      <w:b w:val="0"/>
    </w:rPr>
  </w:style>
  <w:style w:type="paragraph" w:styleId="P52">
    <w:name w:val="Table Heading"/>
    <w:basedOn w:val="P21"/>
    <w:next w:val="P52"/>
    <w:pPr>
      <w:jc w:val="center"/>
    </w:pPr>
    <w:rPr>
      <w:b w:val="1"/>
    </w:rPr>
  </w:style>
  <w:style w:type="paragraph" w:styleId="P53">
    <w:name w:val="Table Heading2"/>
    <w:basedOn w:val="P21"/>
    <w:next w:val="P53"/>
    <w:pPr>
      <w:jc w:val="center"/>
    </w:pPr>
    <w:rPr>
      <w:b w:val="1"/>
    </w:rPr>
  </w:style>
  <w:style w:type="paragraph" w:styleId="P54">
    <w:name w:val="Table Heading4"/>
    <w:basedOn w:val="P21"/>
    <w:next w:val="P54"/>
    <w:pPr>
      <w:jc w:val="center"/>
    </w:pPr>
    <w:rPr>
      <w:b w:val="1"/>
    </w:rPr>
  </w:style>
  <w:style w:type="paragraph" w:styleId="P55">
    <w:name w:val="Table Heading5"/>
    <w:basedOn w:val="P21"/>
    <w:next w:val="P55"/>
    <w:pPr>
      <w:jc w:val="center"/>
    </w:pPr>
    <w:rPr>
      <w:b w:val="1"/>
    </w:rPr>
  </w:style>
  <w:style w:type="paragraph" w:styleId="P56">
    <w:name w:val="Table Heading6"/>
    <w:basedOn w:val="P21"/>
    <w:next w:val="P56"/>
    <w:pPr>
      <w:jc w:val="center"/>
    </w:pPr>
    <w:rPr>
      <w:b w:val="1"/>
    </w:rPr>
  </w:style>
  <w:style w:type="paragraph" w:styleId="P57">
    <w:name w:val="Table Heading9"/>
    <w:basedOn w:val="P21"/>
    <w:next w:val="P57"/>
    <w:pPr>
      <w:jc w:val="center"/>
    </w:pPr>
    <w:rPr>
      <w:b w:val="1"/>
    </w:rPr>
  </w:style>
  <w:style w:type="paragraph" w:styleId="P58">
    <w:name w:val="Table Heading10"/>
    <w:basedOn w:val="P21"/>
    <w:next w:val="P58"/>
    <w:pPr>
      <w:jc w:val="center"/>
    </w:pPr>
    <w:rPr>
      <w:b w:val="1"/>
    </w:rPr>
  </w:style>
  <w:style w:type="paragraph" w:styleId="P59">
    <w:name w:val="Table Heading11"/>
    <w:basedOn w:val="P21"/>
    <w:next w:val="P59"/>
    <w:pPr>
      <w:jc w:val="center"/>
    </w:pPr>
    <w:rPr>
      <w:b w:val="1"/>
    </w:rPr>
  </w:style>
  <w:style w:type="paragraph" w:styleId="P60">
    <w:name w:val="Table Heading13"/>
    <w:basedOn w:val="P21"/>
    <w:next w:val="P60"/>
    <w:pPr>
      <w:jc w:val="center"/>
    </w:pPr>
    <w:rPr>
      <w:b w:val="1"/>
    </w:rPr>
  </w:style>
  <w:style w:type="paragraph" w:styleId="P61">
    <w:name w:val="List Bullet"/>
    <w:basedOn w:val="P35"/>
    <w:next w:val="P61"/>
    <w:pPr>
      <w:numPr>
        <w:numId w:val="2"/>
      </w:numPr>
    </w:pPr>
    <w:rPr/>
  </w:style>
  <w:style w:type="paragraph" w:styleId="P62">
    <w:name w:val="TOC 2"/>
    <w:basedOn w:val="P40"/>
    <w:next w:val="P66"/>
    <w:pPr>
      <w:tabs>
        <w:tab w:val="left" w:pos="1008" w:leader="none"/>
      </w:tabs>
      <w:ind w:left="720"/>
    </w:pPr>
    <w:rPr>
      <w:b w:val="0"/>
    </w:rPr>
  </w:style>
  <w:style w:type="paragraph" w:styleId="P63">
    <w:name w:val="Contents"/>
    <w:basedOn w:val="P42"/>
    <w:next w:val="P4"/>
    <w:pPr/>
    <w:rPr/>
  </w:style>
  <w:style w:type="paragraph" w:styleId="P64">
    <w:name w:val="Exhibit--Title"/>
    <w:basedOn w:val="P49"/>
    <w:next w:val="P67"/>
    <w:pPr>
      <w:spacing w:before="0"/>
    </w:pPr>
    <w:rPr>
      <w:b w:val="1"/>
      <w:caps w:val="0"/>
      <w:sz w:val="20"/>
    </w:rPr>
  </w:style>
  <w:style w:type="paragraph" w:styleId="P65">
    <w:name w:val="Table Notes"/>
    <w:basedOn w:val="P51"/>
    <w:next w:val="P65"/>
    <w:pPr>
      <w:spacing w:after="320"/>
    </w:pPr>
    <w:rPr/>
  </w:style>
  <w:style w:type="paragraph" w:styleId="P66">
    <w:name w:val="TOC 3"/>
    <w:basedOn w:val="P62"/>
    <w:next w:val="P66"/>
    <w:pPr>
      <w:tabs>
        <w:tab w:val="clear" w:pos="1008" w:leader="none"/>
        <w:tab w:val="left" w:pos="1728" w:leader="none"/>
      </w:tabs>
      <w:ind w:left="1440"/>
    </w:pPr>
    <w:rPr/>
  </w:style>
  <w:style w:type="paragraph" w:styleId="P67">
    <w:name w:val="Exhibit--Caption"/>
    <w:basedOn w:val="P64"/>
    <w:next w:val="P4"/>
    <w:pPr/>
    <w:rPr>
      <w:i w:val="1"/>
    </w:rPr>
  </w:style>
  <w:style w:type="paragraph" w:styleId="P68">
    <w:name w:val="TOC 4"/>
    <w:basedOn w:val="P66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44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5"/>
    <w:rPr>
      <w:rFonts w:ascii="Arial" w:hAnsi="Arial"/>
    </w:rPr>
  </w:style>
  <w:style w:type="character" w:styleId="C10">
    <w:name w:val="Comment Subject Char"/>
    <w:link w:val="P41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2017-08-17T18:33:00Z</dcterms:created>
  <cp:lastModifiedBy>Ray</cp:lastModifiedBy>
  <cp:lastPrinted>2006-06-22T13:57:00Z</cp:lastPrinted>
  <dcterms:modified xsi:type="dcterms:W3CDTF">2022-10-04T19:39:02Z</dcterms:modified>
  <cp:revision>4</cp:revision>
  <dc:title>15200-14_Copper_And_Copper_Alloy_Pipe__Tubing__And_Fittings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2017-08-16T00:00:00Z</vt:lpwstr>
  </property>
  <property fmtid="{D5CDD505-2E9C-101B-9397-08002B2CF9AE}" pid="4" name="_dlc_DocId">
    <vt:lpwstr>ENVCPD-83-1414</vt:lpwstr>
  </property>
  <property fmtid="{D5CDD505-2E9C-101B-9397-08002B2CF9AE}" pid="5" name="_dlc_DocIdItemGuid">
    <vt:lpwstr>b42f7c77-d876-42fc-b5a4-a96412465bfc</vt:lpwstr>
  </property>
  <property fmtid="{D5CDD505-2E9C-101B-9397-08002B2CF9AE}" pid="6" name="_dlc_DocIdUrl">
    <vt:lpwstr>https://mycloud.york.ca/projects/EnvServProgramDeliveryOffice/ProjectServer/AEL/_layouts/DocIdRedir.aspx?ID=ENVCPD-83-1414, ENVCPD-83-1414</vt:lpwstr>
  </property>
  <property fmtid="{D5CDD505-2E9C-101B-9397-08002B2CF9AE}" pid="7" name="ContentTypeId">
    <vt:lpwstr>0x0101001E76F5F51B06864FADA04BB3B6DF741B</vt:lpwstr>
  </property>
</Properties>
</file>