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F287A07" Type="http://schemas.openxmlformats.org/officeDocument/2006/relationships/officeDocument" Target="/word/document.xml" /><Relationship Id="coreR5F287A07" Type="http://schemas.openxmlformats.org/package/2006/relationships/metadata/core-properties" Target="/docProps/core.xml" /><Relationship Id="customR5F287A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Height w:hRule="atLeast" w:val="432"/>
        </w:trPr>
        <w:tc>
          <w:tcPr>
            <w:tcW w:w="1184" w:type="dxa"/>
            <w:tcBorders>
              <w:top w:val="double" w:sz="6" w:space="0" w:shadow="0" w:frame="0"/>
              <w:left w:val="double" w:sz="6" w:space="0" w:shadow="0" w:frame="0"/>
              <w:bottom w:val="single" w:sz="6" w:space="0" w:shadow="0" w:frame="0"/>
              <w:right w:val="single" w:sz="6" w:space="0" w:shadow="0" w:frame="0"/>
            </w:tcBorders>
            <w:vAlign w:val="center"/>
          </w:tcPr>
          <w:p>
            <w:pPr>
              <w:pStyle w:val="P53"/>
              <w:spacing w:before="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vAlign w:val="center"/>
          </w:tcPr>
          <w:p>
            <w:pPr>
              <w:pStyle w:val="P53"/>
              <w:spacing w:before="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vAlign w:val="center"/>
          </w:tcPr>
          <w:p>
            <w:pPr>
              <w:pStyle w:val="P53"/>
              <w:spacing w:before="0"/>
              <w:rPr>
                <w:rFonts w:ascii="Calibri" w:hAnsi="Calibri"/>
                <w:sz w:val="22"/>
              </w:rPr>
            </w:pPr>
            <w:r>
              <w:rPr>
                <w:rFonts w:ascii="Calibri" w:hAnsi="Calibri"/>
                <w:sz w:val="22"/>
              </w:rPr>
              <w:t>Description of Revisions</w:t>
            </w:r>
          </w:p>
        </w:tc>
      </w:tr>
      <w:tr>
        <w:trPr>
          <w:wAfter w:w="0" w:type="dxa"/>
          <w:trHeight w:hRule="atLeast" w:val="432"/>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rPr>
            </w:pPr>
            <w:r>
              <w:rPr>
                <w:rFonts w:ascii="Calibri" w:hAnsi="Calibri"/>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rPr>
            </w:pPr>
            <w:r>
              <w:rPr>
                <w:rFonts w:ascii="Calibri" w:hAnsi="Calibri"/>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Approved final document.</w:t>
            </w:r>
          </w:p>
        </w:tc>
      </w:tr>
      <w:tr>
        <w:trPr>
          <w:wAfter w:w="0" w:type="dxa"/>
          <w:trHeight w:hRule="atLeast" w:val="432"/>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rPr>
            </w:pPr>
            <w:r>
              <w:rPr>
                <w:rFonts w:ascii="Calibri" w:hAnsi="Calibri"/>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rPr>
            </w:pPr>
            <w:r>
              <w:rPr>
                <w:rFonts w:ascii="Calibri" w:hAnsi="Calibri"/>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First draft review comments (AV)</w:t>
            </w:r>
          </w:p>
        </w:tc>
      </w:tr>
      <w:tr>
        <w:trPr>
          <w:wAfter w:w="0" w:type="dxa"/>
          <w:trHeight w:hRule="atLeast" w:val="432"/>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b w:val="1"/>
                <w:sz w:val="22"/>
              </w:rPr>
              <w:t>Updated, Finalized Specification – Reference eDOCS #5823670-v3A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b w:val="1"/>
                <w:sz w:val="22"/>
              </w:rPr>
            </w:pPr>
            <w:r>
              <w:rPr>
                <w:rFonts w:ascii="Calibri" w:hAnsi="Calibri"/>
                <w:sz w:val="22"/>
              </w:rPr>
              <w:t xml:space="preserve">Updated references to standards ASTM A193/A193M-16, ASTM A194/A194M-17, ASTM A307-14e1, </w:t>
            </w:r>
            <w:r>
              <w:rPr>
                <w:rFonts w:ascii="Calibri" w:hAnsi="Calibri"/>
                <w:sz w:val="22"/>
                <w:highlight w:val="yellow"/>
              </w:rPr>
              <w:t>ASTM A351/A351M-16</w:t>
            </w:r>
            <w:r>
              <w:rPr>
                <w:rFonts w:ascii="Calibri" w:hAnsi="Calibri"/>
                <w:sz w:val="22"/>
              </w:rPr>
              <w:t xml:space="preserve">, ASTM D3261-16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34"/>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34"/>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34"/>
              <w:rPr>
                <w:rFonts w:ascii="Calibri" w:hAnsi="Calibri"/>
                <w:sz w:val="22"/>
              </w:rPr>
            </w:pPr>
            <w:r>
              <w:rPr>
                <w:rFonts w:ascii="Calibri" w:hAnsi="Calibri"/>
                <w:sz w:val="22"/>
              </w:rPr>
              <w:t>Removal of listed products (CPD, OMM)</w:t>
            </w:r>
          </w:p>
        </w:tc>
      </w:tr>
    </w:tbl>
    <w:p>
      <w:pPr>
        <w:pStyle w:val="P43"/>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3"/>
        <w:numPr>
          <w:ilvl w:val="0"/>
          <w:numId w:val="0"/>
        </w:numPr>
        <w:tabs>
          <w:tab w:val="clear" w:pos="1008" w:leader="none"/>
          <w:tab w:val="left" w:pos="1080" w:leader="none"/>
        </w:tabs>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1355" w:type="dxa"/>
            <w:tcBorders>
              <w:top w:val="double" w:sz="6" w:space="0" w:shadow="0" w:frame="0"/>
              <w:left w:val="double" w:sz="6" w:space="0" w:shadow="0" w:frame="0"/>
              <w:bottom w:val="double" w:sz="6" w:space="0" w:shadow="0" w:frame="0"/>
            </w:tcBorders>
          </w:tcPr>
          <w:p>
            <w:pPr>
              <w:pStyle w:val="P62"/>
              <w:spacing w:before="0"/>
              <w:ind w:hanging="1440" w:left="1440"/>
              <w:rPr>
                <w:rFonts w:ascii="Calibri" w:hAnsi="Calibri"/>
                <w:sz w:val="22"/>
              </w:rPr>
            </w:pPr>
            <w:r>
              <w:rPr>
                <w:rFonts w:ascii="Calibri" w:hAnsi="Calibri"/>
                <w:sz w:val="22"/>
              </w:rPr>
              <w:t>Item</w:t>
            </w:r>
          </w:p>
        </w:tc>
        <w:tc>
          <w:tcPr>
            <w:tcW w:w="7795" w:type="dxa"/>
            <w:gridSpan w:val="2"/>
            <w:tcBorders>
              <w:top w:val="double" w:sz="6" w:space="0" w:shadow="0" w:frame="0"/>
              <w:left w:val="single" w:sz="6" w:space="0" w:shadow="0" w:frame="0"/>
              <w:bottom w:val="double" w:sz="6" w:space="0" w:shadow="0" w:frame="0"/>
              <w:right w:val="double" w:sz="6" w:space="0" w:shadow="0" w:frame="0"/>
            </w:tcBorders>
          </w:tcPr>
          <w:p>
            <w:pPr>
              <w:pStyle w:val="P62"/>
              <w:spacing w:before="0"/>
              <w:ind w:hanging="1440" w:left="1440"/>
              <w:rPr>
                <w:rFonts w:ascii="Calibri" w:hAnsi="Calibri"/>
                <w:sz w:val="22"/>
              </w:rPr>
            </w:pPr>
            <w:r>
              <w:rPr>
                <w:rFonts w:ascii="Calibri" w:hAnsi="Calibri"/>
                <w:sz w:val="22"/>
              </w:rPr>
              <w:t>Description</w:t>
            </w:r>
          </w:p>
        </w:tc>
      </w:tr>
      <w:tr>
        <w:trPr>
          <w:wAfter w:w="0" w:type="dxa"/>
        </w:trPr>
        <w:tc>
          <w:tcPr>
            <w:tcW w:w="1355" w:type="dxa"/>
            <w:tcBorders>
              <w:left w:val="double" w:sz="6" w:space="0" w:shadow="0" w:frame="0"/>
            </w:tcBorders>
          </w:tcPr>
          <w:p>
            <w:pPr>
              <w:pStyle w:val="P33"/>
              <w:spacing w:before="0"/>
              <w:ind w:hanging="1440" w:left="1440"/>
              <w:rPr>
                <w:rFonts w:ascii="Calibri" w:hAnsi="Calibri"/>
                <w:sz w:val="22"/>
              </w:rPr>
            </w:pPr>
            <w:r>
              <w:rPr>
                <w:rFonts w:ascii="Calibri" w:hAnsi="Calibri"/>
                <w:sz w:val="22"/>
              </w:rPr>
              <w:t>General</w:t>
            </w:r>
          </w:p>
        </w:tc>
        <w:tc>
          <w:tcPr>
            <w:tcW w:w="7795" w:type="dxa"/>
            <w:gridSpan w:val="2"/>
            <w:tcBorders>
              <w:left w:val="single" w:sz="6" w:space="0" w:shadow="0" w:frame="0"/>
              <w:right w:val="double" w:sz="6" w:space="0" w:shadow="0" w:frame="0"/>
            </w:tcBorders>
          </w:tcPr>
          <w:p>
            <w:pPr>
              <w:pStyle w:val="P33"/>
              <w:spacing w:before="60" w:after="60"/>
              <w:rPr>
                <w:rFonts w:ascii="Calibri" w:hAnsi="Calibri"/>
                <w:sz w:val="22"/>
              </w:rPr>
            </w:pPr>
            <w:r>
              <w:rPr>
                <w:rFonts w:ascii="Calibri" w:hAnsi="Calibri"/>
                <w:sz w:val="22"/>
              </w:rPr>
              <w:t>Pipe lengths, fittings, and flanged connections to be joined by thermal butt-fusion shall be of the same type, grade, and class of polyethylene compound and supplied from the same raw material supplier.</w:t>
            </w:r>
          </w:p>
        </w:tc>
      </w:tr>
      <w:tr>
        <w:trPr>
          <w:wAfter w:w="0" w:type="dxa"/>
        </w:trPr>
        <w:tc>
          <w:tcPr>
            <w:tcW w:w="1355" w:type="dxa"/>
            <w:tcBorders>
              <w:top w:val="single" w:sz="6" w:space="0" w:shadow="0" w:frame="0"/>
              <w:left w:val="double" w:sz="6" w:space="0" w:shadow="0" w:frame="0"/>
              <w:bottom w:val="single" w:sz="6" w:space="0" w:shadow="0" w:frame="0"/>
            </w:tcBorders>
          </w:tcPr>
          <w:p>
            <w:pPr>
              <w:pStyle w:val="P33"/>
              <w:spacing w:before="0"/>
              <w:ind w:hanging="1440" w:left="1440"/>
              <w:rPr>
                <w:rFonts w:ascii="Calibri" w:hAnsi="Calibri"/>
                <w:sz w:val="22"/>
              </w:rPr>
            </w:pPr>
            <w:r>
              <w:rPr>
                <w:rFonts w:ascii="Calibri" w:hAnsi="Calibri"/>
                <w:sz w:val="22"/>
              </w:rPr>
              <w:t>Pipe</w:t>
            </w:r>
          </w:p>
        </w:tc>
        <w:tc>
          <w:tcPr>
            <w:tcW w:w="7795" w:type="dxa"/>
            <w:gridSpan w:val="2"/>
            <w:tcBorders>
              <w:top w:val="single" w:sz="6" w:space="0" w:shadow="0" w:frame="0"/>
              <w:left w:val="single" w:sz="6" w:space="0" w:shadow="0" w:frame="0"/>
              <w:bottom w:val="single" w:sz="6" w:space="0" w:shadow="0" w:frame="0"/>
              <w:right w:val="double" w:sz="6" w:space="0" w:shadow="0" w:frame="0"/>
            </w:tcBorders>
          </w:tcPr>
          <w:p>
            <w:pPr>
              <w:pStyle w:val="P33"/>
              <w:tabs>
                <w:tab w:val="left" w:pos="310" w:leader="none"/>
                <w:tab w:val="clear" w:pos="1440" w:leader="none"/>
                <w:tab w:val="clear" w:pos="2016" w:leader="none"/>
              </w:tabs>
              <w:spacing w:before="60" w:after="60"/>
              <w:rPr>
                <w:rFonts w:ascii="Calibri" w:hAnsi="Calibri"/>
                <w:sz w:val="22"/>
              </w:rPr>
            </w:pPr>
            <w:r>
              <w:rPr>
                <w:rFonts w:ascii="Calibri" w:hAnsi="Calibri"/>
                <w:sz w:val="22"/>
              </w:rPr>
              <w:t>ASTM D3350-14, high density polyethylene, maximum allowable hoop stress 5,500 kPa at 23 degrees Celsius.</w:t>
            </w:r>
          </w:p>
          <w:p>
            <w:pPr>
              <w:pStyle w:val="P33"/>
              <w:tabs>
                <w:tab w:val="left" w:pos="864" w:leader="none"/>
                <w:tab w:val="clear" w:pos="2016" w:leader="none"/>
              </w:tabs>
              <w:spacing w:before="60" w:after="60"/>
              <w:rPr>
                <w:rFonts w:ascii="Calibri" w:hAnsi="Calibri"/>
                <w:sz w:val="22"/>
              </w:rPr>
            </w:pPr>
            <w:r>
              <w:rPr>
                <w:rFonts w:ascii="Calibri" w:hAnsi="Calibri"/>
                <w:sz w:val="22"/>
              </w:rPr>
              <w:t>Polyethylene resins shall conform to Type PE 3408 or better.</w:t>
            </w:r>
          </w:p>
          <w:p>
            <w:pPr>
              <w:pStyle w:val="P33"/>
              <w:tabs>
                <w:tab w:val="left" w:pos="864" w:leader="none"/>
              </w:tabs>
              <w:spacing w:before="60" w:after="60"/>
              <w:rPr>
                <w:rFonts w:ascii="Calibri" w:hAnsi="Calibri"/>
                <w:sz w:val="22"/>
              </w:rPr>
            </w:pPr>
            <w:r>
              <w:rPr>
                <w:rFonts w:ascii="Calibri" w:hAnsi="Calibri"/>
                <w:sz w:val="22"/>
              </w:rPr>
              <w:t>Protection shall be provided against ultraviolet light degradation using carbon black, a minimum of 2 percent well dispersed in the resin.</w:t>
            </w:r>
          </w:p>
          <w:p>
            <w:pPr>
              <w:pStyle w:val="P33"/>
              <w:tabs>
                <w:tab w:val="left" w:pos="864" w:leader="none"/>
              </w:tabs>
              <w:spacing w:before="60" w:after="60"/>
              <w:rPr>
                <w:rFonts w:ascii="Calibri" w:hAnsi="Calibri"/>
                <w:sz w:val="22"/>
              </w:rPr>
            </w:pPr>
            <w:r>
              <w:rPr>
                <w:rFonts w:ascii="Calibri" w:hAnsi="Calibri"/>
                <w:sz w:val="22"/>
              </w:rPr>
              <w:t>Pipe wall thickness shall reflect the required SDR* and diameter, as shown in Table 8, ASTM F714-13.</w:t>
            </w:r>
          </w:p>
          <w:p>
            <w:pPr>
              <w:pStyle w:val="P33"/>
              <w:tabs>
                <w:tab w:val="left" w:pos="864" w:leader="none"/>
              </w:tabs>
              <w:spacing w:before="0"/>
              <w:rPr>
                <w:rFonts w:ascii="Calibri" w:hAnsi="Calibri"/>
                <w:sz w:val="22"/>
              </w:rPr>
            </w:pPr>
            <w:r>
              <w:rPr>
                <w:rFonts w:ascii="Calibri" w:hAnsi="Calibri"/>
                <w:sz w:val="22"/>
              </w:rPr>
              <w:t>Design Stress Rating: ASTM F714-13, 5,500 kPa hydrostatic.</w:t>
            </w:r>
          </w:p>
          <w:p>
            <w:pPr>
              <w:pStyle w:val="P33"/>
              <w:tabs>
                <w:tab w:val="clear" w:pos="144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 xml:space="preserve">            Pressure Rating (kPa)</w:t>
              <w:tab/>
              <w:t xml:space="preserve"> SDR* </w:t>
            </w:r>
          </w:p>
          <w:p>
            <w:pPr>
              <w:pStyle w:val="P33"/>
              <w:tabs>
                <w:tab w:val="clear" w:pos="1440" w:leader="none"/>
                <w:tab w:val="center" w:pos="154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375</w:t>
              <w:tab/>
              <w:tab/>
              <w:t>9.0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1100</w:t>
              <w:tab/>
              <w:tab/>
              <w:t>11.0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890</w:t>
              <w:tab/>
              <w:tab/>
              <w:t>13.5</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687</w:t>
              <w:tab/>
              <w:tab/>
              <w:t>17.0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550</w:t>
              <w:tab/>
              <w:tab/>
              <w:t>21.0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450</w:t>
              <w:tab/>
              <w:tab/>
              <w:t>26.0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350</w:t>
              <w:tab/>
              <w:tab/>
              <w:t>32.5</w:t>
            </w:r>
          </w:p>
          <w:p>
            <w:pPr>
              <w:pStyle w:val="P33"/>
              <w:tabs>
                <w:tab w:val="left" w:pos="864" w:leader="none"/>
              </w:tabs>
              <w:spacing w:before="0"/>
              <w:rPr>
                <w:rFonts w:ascii="Calibri" w:hAnsi="Calibri"/>
                <w:sz w:val="22"/>
              </w:rPr>
            </w:pPr>
            <w:r>
              <w:rPr>
                <w:rFonts w:ascii="Calibri" w:hAnsi="Calibri"/>
                <w:sz w:val="22"/>
              </w:rPr>
              <w:t>* SDR: standard dimension ratio = OD/thickness</w:t>
            </w:r>
          </w:p>
        </w:tc>
      </w:tr>
      <w:tr>
        <w:trPr>
          <w:wAfter w:w="0" w:type="dxa"/>
        </w:trPr>
        <w:tc>
          <w:tcPr>
            <w:tcW w:w="1355" w:type="dxa"/>
            <w:vMerge w:val="restart"/>
            <w:tcBorders>
              <w:top w:val="single" w:sz="6" w:space="0" w:shadow="0" w:frame="0"/>
              <w:left w:val="double" w:sz="6" w:space="0" w:shadow="0" w:frame="0"/>
            </w:tcBorders>
          </w:tcPr>
          <w:p>
            <w:pPr>
              <w:pStyle w:val="P33"/>
              <w:spacing w:before="0"/>
              <w:ind w:hanging="1440" w:left="1440"/>
              <w:rPr>
                <w:rFonts w:ascii="Calibri" w:hAnsi="Calibri"/>
                <w:sz w:val="22"/>
              </w:rPr>
            </w:pPr>
            <w:r>
              <w:rPr>
                <w:rFonts w:ascii="Calibri" w:hAnsi="Calibri"/>
                <w:sz w:val="22"/>
              </w:rPr>
              <w:t>Fittings</w:t>
            </w:r>
          </w:p>
        </w:tc>
        <w:tc>
          <w:tcPr>
            <w:tcW w:w="1800" w:type="dxa"/>
            <w:tcBorders>
              <w:top w:val="single" w:sz="6" w:space="0" w:shadow="0" w:frame="0"/>
              <w:left w:val="single" w:sz="6" w:space="0" w:shadow="0" w:frame="0"/>
              <w:bottom w:val="dashed" w:sz="4" w:space="0" w:shadow="0" w:frame="0"/>
              <w:right w:val="dashed" w:sz="4" w:space="0" w:shadow="0" w:frame="0"/>
            </w:tcBorders>
          </w:tcPr>
          <w:p>
            <w:pPr>
              <w:pStyle w:val="P33"/>
              <w:tabs>
                <w:tab w:val="clear" w:pos="1440" w:leader="none"/>
              </w:tabs>
              <w:spacing w:before="0"/>
              <w:rPr>
                <w:rFonts w:ascii="Calibri" w:hAnsi="Calibri"/>
                <w:sz w:val="22"/>
              </w:rPr>
            </w:pPr>
            <w:r>
              <w:rPr>
                <w:rFonts w:ascii="Calibri" w:hAnsi="Calibri"/>
                <w:sz w:val="22"/>
              </w:rPr>
              <w:t>150 mm &amp; smaller</w:t>
            </w:r>
          </w:p>
        </w:tc>
        <w:tc>
          <w:tcPr>
            <w:tcW w:w="5995" w:type="dxa"/>
            <w:tcBorders>
              <w:top w:val="single" w:sz="6" w:space="0" w:shadow="0" w:frame="0"/>
              <w:left w:val="dashed" w:sz="4" w:space="0" w:shadow="0" w:frame="0"/>
              <w:bottom w:val="dashed" w:sz="4" w:space="0" w:shadow="0" w:frame="0"/>
              <w:right w:val="double" w:sz="6" w:space="0" w:shadow="0" w:frame="0"/>
            </w:tcBorders>
          </w:tcPr>
          <w:p>
            <w:pPr>
              <w:pStyle w:val="P33"/>
              <w:tabs>
                <w:tab w:val="left" w:pos="864" w:leader="none"/>
              </w:tabs>
              <w:spacing w:before="60" w:after="60"/>
              <w:rPr>
                <w:rFonts w:ascii="Calibri" w:hAnsi="Calibri"/>
                <w:sz w:val="22"/>
              </w:rPr>
            </w:pPr>
            <w:r>
              <w:rPr>
                <w:rFonts w:ascii="Calibri" w:hAnsi="Calibri"/>
                <w:sz w:val="22"/>
              </w:rPr>
              <w:t>Molded fittings, butt fusion joined, conforming to the requirements of ASTM D3261-16.</w:t>
            </w:r>
          </w:p>
        </w:tc>
      </w:tr>
      <w:tr>
        <w:trPr>
          <w:wAfter w:w="0" w:type="dxa"/>
        </w:trPr>
        <w:tc>
          <w:tcPr>
            <w:tcW w:w="1355" w:type="dxa"/>
            <w:vMerge w:val="continue"/>
            <w:tcBorders>
              <w:left w:val="double" w:sz="6" w:space="0" w:shadow="0" w:frame="0"/>
              <w:bottom w:val="single" w:sz="4" w:space="0" w:shadow="0" w:frame="0"/>
            </w:tcBorders>
          </w:tcPr>
          <w:p>
            <w:pPr>
              <w:pStyle w:val="P33"/>
              <w:spacing w:before="0"/>
              <w:ind w:hanging="1440" w:left="1440"/>
              <w:rPr>
                <w:rFonts w:ascii="Calibri" w:hAnsi="Calibri"/>
                <w:sz w:val="22"/>
              </w:rPr>
            </w:pPr>
          </w:p>
        </w:tc>
        <w:tc>
          <w:tcPr>
            <w:tcW w:w="1800" w:type="dxa"/>
            <w:tcBorders>
              <w:top w:val="dashed" w:sz="4" w:space="0" w:shadow="0" w:frame="0"/>
              <w:left w:val="single" w:sz="6" w:space="0" w:shadow="0" w:frame="0"/>
              <w:bottom w:val="single" w:sz="4" w:space="0" w:shadow="0" w:frame="0"/>
              <w:right w:val="dashed" w:sz="4" w:space="0" w:shadow="0" w:frame="0"/>
            </w:tcBorders>
          </w:tcPr>
          <w:p>
            <w:pPr>
              <w:pStyle w:val="P33"/>
              <w:tabs>
                <w:tab w:val="clear" w:pos="1440" w:leader="none"/>
              </w:tabs>
              <w:spacing w:before="0"/>
              <w:ind w:hanging="30"/>
              <w:rPr>
                <w:rFonts w:ascii="Calibri" w:hAnsi="Calibri"/>
                <w:sz w:val="22"/>
              </w:rPr>
            </w:pPr>
            <w:r>
              <w:rPr>
                <w:rFonts w:ascii="Calibri" w:hAnsi="Calibri"/>
                <w:sz w:val="22"/>
              </w:rPr>
              <w:t>200 mm &amp; larger</w:t>
            </w:r>
          </w:p>
        </w:tc>
        <w:tc>
          <w:tcPr>
            <w:tcW w:w="5995" w:type="dxa"/>
            <w:tcBorders>
              <w:top w:val="dashed" w:sz="4" w:space="0" w:shadow="0" w:frame="0"/>
              <w:left w:val="dashed" w:sz="4" w:space="0" w:shadow="0" w:frame="0"/>
              <w:bottom w:val="single" w:sz="4" w:space="0" w:shadow="0" w:frame="0"/>
              <w:right w:val="double" w:sz="6" w:space="0" w:shadow="0" w:frame="0"/>
            </w:tcBorders>
          </w:tcPr>
          <w:p>
            <w:pPr>
              <w:pStyle w:val="P33"/>
              <w:tabs>
                <w:tab w:val="left" w:pos="864" w:leader="none"/>
              </w:tabs>
              <w:spacing w:before="60" w:after="60"/>
              <w:rPr>
                <w:rFonts w:ascii="Calibri" w:hAnsi="Calibri"/>
                <w:sz w:val="22"/>
              </w:rPr>
            </w:pPr>
            <w:r>
              <w:rPr>
                <w:rFonts w:ascii="Calibri" w:hAnsi="Calibri"/>
                <w:sz w:val="22"/>
              </w:rPr>
              <w:t>Same as pipe, butt fusion joined, conforming to the requirements of ASTM D3350-14.</w:t>
            </w:r>
          </w:p>
          <w:p>
            <w:pPr>
              <w:pStyle w:val="P33"/>
              <w:tabs>
                <w:tab w:val="left" w:pos="864" w:leader="none"/>
              </w:tabs>
              <w:spacing w:before="60" w:after="60"/>
              <w:rPr>
                <w:rFonts w:ascii="Calibri" w:hAnsi="Calibri"/>
                <w:sz w:val="22"/>
              </w:rPr>
            </w:pPr>
            <w:r>
              <w:rPr>
                <w:rFonts w:ascii="Calibri" w:hAnsi="Calibri"/>
                <w:sz w:val="22"/>
              </w:rPr>
              <w:t>All fittings shall have same pressure rating as pipe, unless otherwise noted in the Contract Documents.</w:t>
            </w:r>
          </w:p>
        </w:tc>
      </w:tr>
      <w:tr>
        <w:trPr>
          <w:wAfter w:w="0" w:type="dxa"/>
        </w:trPr>
        <w:tc>
          <w:tcPr>
            <w:tcW w:w="1355" w:type="dxa"/>
            <w:tcBorders>
              <w:top w:val="single" w:sz="4" w:space="0" w:shadow="0" w:frame="0"/>
              <w:left w:val="double" w:sz="6" w:space="0" w:shadow="0" w:frame="0"/>
              <w:bottom w:val="single" w:sz="4" w:space="0" w:shadow="0" w:frame="0"/>
            </w:tcBorders>
          </w:tcPr>
          <w:p>
            <w:pPr>
              <w:pStyle w:val="P33"/>
              <w:spacing w:before="0"/>
              <w:ind w:hanging="1440" w:left="1440"/>
              <w:rPr>
                <w:rFonts w:ascii="Calibri" w:hAnsi="Calibri"/>
                <w:sz w:val="22"/>
              </w:rPr>
            </w:pPr>
            <w:r>
              <w:rPr>
                <w:rFonts w:ascii="Calibri" w:hAnsi="Calibri"/>
                <w:sz w:val="22"/>
              </w:rPr>
              <w:t>Flanges</w:t>
            </w:r>
          </w:p>
        </w:tc>
        <w:tc>
          <w:tcPr>
            <w:tcW w:w="7795" w:type="dxa"/>
            <w:gridSpan w:val="2"/>
            <w:tcBorders>
              <w:top w:val="single" w:sz="4" w:space="0" w:shadow="0" w:frame="0"/>
              <w:left w:val="single" w:sz="6" w:space="0" w:shadow="0" w:frame="0"/>
              <w:bottom w:val="single" w:sz="4" w:space="0" w:shadow="0" w:frame="0"/>
              <w:right w:val="double" w:sz="6" w:space="0" w:shadow="0" w:frame="0"/>
            </w:tcBorders>
          </w:tcPr>
          <w:p>
            <w:pPr>
              <w:pStyle w:val="P33"/>
              <w:spacing w:before="60" w:after="60"/>
              <w:rPr>
                <w:rFonts w:ascii="Calibri" w:hAnsi="Calibri"/>
                <w:sz w:val="22"/>
                <w:highlight w:val="yellow"/>
              </w:rPr>
            </w:pPr>
            <w:r>
              <w:rPr>
                <w:rFonts w:ascii="Calibri" w:hAnsi="Calibri"/>
                <w:sz w:val="22"/>
                <w:highlight w:val="yellow"/>
              </w:rPr>
              <w:t xml:space="preserve">[Van Stone type, cast ASTM A351/A351M-16, Type 316 stainless steel backing ring, NSF 61] </w:t>
            </w:r>
          </w:p>
          <w:p>
            <w:pPr>
              <w:pStyle w:val="P33"/>
              <w:spacing w:before="60" w:after="60"/>
              <w:rPr>
                <w:rFonts w:ascii="Calibri" w:hAnsi="Calibri"/>
                <w:sz w:val="22"/>
              </w:rPr>
            </w:pPr>
            <w:r>
              <w:rPr>
                <w:rFonts w:ascii="Calibri" w:hAnsi="Calibri"/>
                <w:sz w:val="22"/>
                <w:highlight w:val="yellow"/>
              </w:rPr>
              <w:t>[Van Stone type, cast ASTM A536-84(2014) (65/45/12), ductile iron backing ring, NSF 61]</w:t>
            </w:r>
            <w:r>
              <w:rPr>
                <w:rFonts w:ascii="Calibri" w:hAnsi="Calibri"/>
                <w:sz w:val="22"/>
              </w:rPr>
              <w:t xml:space="preserve"> for bolting in accordance with ASTM D2513; ASTM D3261; ASTM F2880; ANSI/ASME B16.1-2010, Class 125; ASME B16.5-2013, Class 150; and AWWA C207-13, Class E. Pressure performance of the backing ring shall be equal to SDR rating of the pipe with safety factor of two. Stub ends shall be the same grade HDPE and pressure rating as pipe.</w:t>
            </w:r>
          </w:p>
        </w:tc>
      </w:tr>
      <w:tr>
        <w:trPr>
          <w:wAfter w:w="0" w:type="dxa"/>
        </w:trPr>
        <w:tc>
          <w:tcPr>
            <w:tcW w:w="1355" w:type="dxa"/>
            <w:tcBorders>
              <w:top w:val="single" w:sz="4" w:space="0" w:shadow="0" w:frame="0"/>
              <w:left w:val="double" w:sz="6" w:space="0" w:shadow="0" w:frame="0"/>
            </w:tcBorders>
          </w:tcPr>
          <w:p>
            <w:pPr>
              <w:pStyle w:val="P33"/>
              <w:spacing w:before="0"/>
              <w:ind w:hanging="1440" w:left="1440"/>
              <w:rPr>
                <w:rFonts w:ascii="Calibri" w:hAnsi="Calibri"/>
                <w:sz w:val="22"/>
              </w:rPr>
            </w:pPr>
            <w:r>
              <w:rPr>
                <w:rFonts w:ascii="Calibri" w:hAnsi="Calibri"/>
                <w:sz w:val="22"/>
              </w:rPr>
              <w:t>Bolting</w:t>
            </w:r>
          </w:p>
        </w:tc>
        <w:tc>
          <w:tcPr>
            <w:tcW w:w="7795" w:type="dxa"/>
            <w:gridSpan w:val="2"/>
            <w:tcBorders>
              <w:top w:val="single" w:sz="4" w:space="0" w:shadow="0" w:frame="0"/>
              <w:left w:val="single" w:sz="6" w:space="0" w:shadow="0" w:frame="0"/>
              <w:right w:val="double" w:sz="6" w:space="0" w:shadow="0" w:frame="0"/>
            </w:tcBorders>
          </w:tcPr>
          <w:p>
            <w:pPr>
              <w:pStyle w:val="P33"/>
              <w:spacing w:before="60" w:after="60"/>
              <w:rPr>
                <w:rFonts w:ascii="Calibri" w:hAnsi="Calibri"/>
                <w:sz w:val="22"/>
              </w:rPr>
            </w:pPr>
            <w:r>
              <w:rPr>
                <w:rFonts w:ascii="Calibri" w:hAnsi="Calibri"/>
                <w:sz w:val="22"/>
              </w:rPr>
              <w:t>General Conditions: Carbon steel, ASTM A307-14e1 Grade B square head bolts and ASTM A563-07a(2014) Grade A heavy hex head nuts.</w:t>
            </w:r>
          </w:p>
          <w:p>
            <w:pPr>
              <w:pStyle w:val="P33"/>
              <w:tabs>
                <w:tab w:val="left" w:pos="864" w:leader="none"/>
              </w:tabs>
              <w:spacing w:before="60" w:after="60"/>
              <w:rPr>
                <w:rFonts w:ascii="Calibri" w:hAnsi="Calibri"/>
                <w:sz w:val="22"/>
              </w:rPr>
            </w:pPr>
            <w:r>
              <w:rPr>
                <w:rFonts w:ascii="Calibri" w:hAnsi="Calibri"/>
                <w:sz w:val="22"/>
              </w:rPr>
              <w:t>Corrosive Conditions: Stainless steel, ASTM A193/A193M-16 Grade B8M studs and ASTM A194/A194M-17 Grade 8M hex head nuts.</w:t>
            </w:r>
          </w:p>
          <w:p>
            <w:pPr>
              <w:pStyle w:val="P33"/>
              <w:tabs>
                <w:tab w:val="left" w:pos="864" w:leader="none"/>
              </w:tabs>
              <w:spacing w:before="60" w:after="60"/>
              <w:rPr>
                <w:rFonts w:ascii="Calibri" w:hAnsi="Calibri"/>
                <w:sz w:val="22"/>
              </w:rPr>
            </w:pPr>
            <w:r>
              <w:rPr>
                <w:rFonts w:ascii="Calibri" w:hAnsi="Calibri"/>
                <w:sz w:val="22"/>
              </w:rPr>
              <w:t>Washers shall be same material as bolts.</w:t>
            </w:r>
          </w:p>
        </w:tc>
      </w:tr>
      <w:tr>
        <w:trPr>
          <w:wAfter w:w="0" w:type="dxa"/>
        </w:trPr>
        <w:tc>
          <w:tcPr>
            <w:tcW w:w="1355" w:type="dxa"/>
            <w:tcBorders>
              <w:top w:val="single" w:sz="6" w:space="0" w:shadow="0" w:frame="0"/>
              <w:left w:val="double" w:sz="6" w:space="0" w:shadow="0" w:frame="0"/>
              <w:bottom w:val="double" w:sz="6" w:space="0" w:shadow="0" w:frame="0"/>
            </w:tcBorders>
          </w:tcPr>
          <w:p>
            <w:pPr>
              <w:pStyle w:val="P33"/>
              <w:spacing w:before="0"/>
              <w:ind w:hanging="1440" w:left="1440"/>
              <w:rPr>
                <w:rFonts w:ascii="Calibri" w:hAnsi="Calibri"/>
                <w:sz w:val="22"/>
              </w:rPr>
            </w:pPr>
            <w:r>
              <w:rPr>
                <w:rFonts w:ascii="Calibri" w:hAnsi="Calibri"/>
                <w:sz w:val="22"/>
              </w:rPr>
              <w:t>Gaskets</w:t>
            </w:r>
          </w:p>
        </w:tc>
        <w:tc>
          <w:tcPr>
            <w:tcW w:w="7795" w:type="dxa"/>
            <w:gridSpan w:val="2"/>
            <w:tcBorders>
              <w:top w:val="single" w:sz="6" w:space="0" w:shadow="0" w:frame="0"/>
              <w:left w:val="single" w:sz="6" w:space="0" w:shadow="0" w:frame="0"/>
              <w:bottom w:val="double" w:sz="6" w:space="0" w:shadow="0" w:frame="0"/>
              <w:right w:val="double" w:sz="6" w:space="0" w:shadow="0" w:frame="0"/>
            </w:tcBorders>
          </w:tcPr>
          <w:p>
            <w:pPr>
              <w:pStyle w:val="P33"/>
              <w:tabs>
                <w:tab w:val="left" w:pos="864" w:leader="none"/>
              </w:tabs>
              <w:spacing w:before="0"/>
              <w:rPr>
                <w:rFonts w:ascii="Calibri" w:hAnsi="Calibri"/>
                <w:sz w:val="22"/>
              </w:rPr>
            </w:pPr>
            <w:r>
              <w:rPr>
                <w:rFonts w:ascii="Calibri" w:hAnsi="Calibri"/>
                <w:sz w:val="22"/>
              </w:rPr>
              <w:t>Flat ring, 3 mm ethylene propylene rubber (EPR).</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Contract Number]</w:t>
    </w:r>
    <w:r>
      <w:rPr>
        <w:rFonts w:ascii="Calibri" w:hAnsi="Calibri"/>
        <w:sz w:val="22"/>
      </w:rPr>
      <w:tab/>
      <w:tab/>
      <w:t>Section 15200-15</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 xml:space="preserve">HIGH DENSITY POLYETHYLENE (HDPE) PIPE </w:t>
    </w:r>
    <w:r>
      <w:rPr>
        <w:rFonts w:ascii="Calibri" w:hAnsi="Calibri"/>
        <w:b w:val="1"/>
        <w:sz w:val="22"/>
      </w:rPr>
      <w:t>AND FITTINGS</w:t>
    </w:r>
    <w:r>
      <w:rPr>
        <w:rFonts w:ascii="Calibri" w:hAnsi="Calibri"/>
        <w:sz w:val="22"/>
      </w:rPr>
      <w:tab/>
      <w:t>2014-08-18</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left" w:pos="4455"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CONTRACT NO. </w:t>
    </w:r>
    <w:r>
      <w:rPr>
        <w:rFonts w:ascii="Calibri" w:hAnsi="Calibri"/>
        <w:sz w:val="22"/>
        <w:highlight w:val="yellow"/>
      </w:rPr>
      <w:t>[Insert Contract Number]</w:t>
    </w:r>
    <w:r>
      <w:rPr>
        <w:rFonts w:ascii="Calibri" w:hAnsi="Calibri"/>
        <w:sz w:val="22"/>
      </w:rPr>
      <w:tab/>
      <w:tab/>
      <w:t>Section 15200-15</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b w:val="1"/>
        <w:sz w:val="22"/>
      </w:rPr>
      <w:tab/>
    </w:r>
    <w:r>
      <w:rPr>
        <w:rFonts w:ascii="Calibri" w:hAnsi="Calibri"/>
        <w:b w:val="1"/>
        <w:sz w:val="22"/>
      </w:rPr>
      <w:t xml:space="preserve">HIGH DENSITY POLYETHYLENE (HDPE) PIPE </w:t>
    </w:r>
    <w:r>
      <w:rPr>
        <w:rFonts w:ascii="Calibri" w:hAnsi="Calibri"/>
        <w:b w:val="1"/>
        <w:sz w:val="22"/>
      </w:rPr>
      <w:t>AND FITTINGS</w:t>
    </w:r>
    <w:r>
      <w:rPr>
        <w:rFonts w:ascii="Calibri" w:hAnsi="Calibri"/>
        <w:sz w:val="22"/>
      </w:rPr>
      <w:tab/>
      <w:t>2017-08-16</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DATE:  </w:t>
    </w:r>
    <w:r>
      <w:rPr>
        <w:rFonts w:ascii="Calibri" w:hAnsi="Calibri"/>
        <w:sz w:val="22"/>
        <w:highlight w:val="yellow"/>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r>
  </w:p>
  <w:p>
    <w:pPr>
      <w:pStyle w:val="P10"/>
      <w:tabs>
        <w:tab w:val="center" w:pos="5220" w:leader="none"/>
        <w:tab w:val="right" w:pos="10800" w:leader="none"/>
      </w:tabs>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Section 15200-15</w:t>
      <w:tab/>
      <w:tab/>
      <w:t xml:space="preserve">CONTRACT NO. </w:t>
    </w:r>
    <w:r>
      <w:rPr>
        <w:rFonts w:ascii="Calibri" w:hAnsi="Calibri"/>
        <w:sz w:val="22"/>
        <w:highlight w:val="yellow"/>
      </w:rPr>
      <w:t>[Insert Contract Number]</w:t>
    </w:r>
    <w:r>
      <w:rPr>
        <w:rFonts w:ascii="Calibri" w:hAnsi="Calibri"/>
        <w:sz w:val="22"/>
      </w:rPr>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2017-08-16</w:t>
    </w:r>
    <w:r>
      <w:rPr>
        <w:rFonts w:ascii="Calibri" w:hAnsi="Calibri"/>
        <w:b w:val="1"/>
        <w:sz w:val="22"/>
      </w:rPr>
      <w:tab/>
    </w:r>
    <w:r>
      <w:rPr>
        <w:rFonts w:ascii="Calibri" w:hAnsi="Calibri"/>
        <w:b w:val="1"/>
        <w:sz w:val="22"/>
      </w:rPr>
      <w:t xml:space="preserve">HIGH DENSITY POLYETHYLENE (HDPE) PIPE </w:t>
    </w:r>
    <w:r>
      <w:rPr>
        <w:rFonts w:ascii="Calibri" w:hAnsi="Calibri"/>
        <w:b w:val="1"/>
        <w:sz w:val="22"/>
      </w:rPr>
      <w:t>AND FITTINGS</w:t>
    </w:r>
    <w:r>
      <w:rPr>
        <w:rFonts w:ascii="Calibri" w:hAnsi="Calibri"/>
        <w:sz w:val="22"/>
      </w:rPr>
      <w:t xml:space="preserve"> </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tab/>
      <w:tab/>
      <w:tab/>
      <w:t xml:space="preserve">DATE:  </w:t>
    </w:r>
    <w:r>
      <w:rPr>
        <w:rFonts w:ascii="Calibri" w:hAnsi="Calibri"/>
        <w:sz w:val="22"/>
        <w:highlight w:val="yellow"/>
      </w:rPr>
      <w:t>[Insert Date, (e.g. Jan., 2000)]</w:t>
    </w:r>
    <w:r>
      <w:rPr>
        <w:rFonts w:ascii="Calibri" w:hAnsi="Calibri"/>
        <w:sz w:val="22"/>
      </w:rPr>
      <w:tab/>
      <w:tab/>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3F0EAE2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Table Text11"/>
    <w:basedOn w:val="P0"/>
    <w:next w:val="P31"/>
    <w:pPr>
      <w:spacing w:before="120"/>
    </w:pPr>
    <w:rPr/>
  </w:style>
  <w:style w:type="paragraph" w:styleId="P32">
    <w:name w:val="Table Text14"/>
    <w:basedOn w:val="P0"/>
    <w:next w:val="P32"/>
    <w:pPr>
      <w:spacing w:before="120"/>
    </w:pPr>
    <w:rPr/>
  </w:style>
  <w:style w:type="paragraph" w:styleId="P33">
    <w:name w:val="Table Text15"/>
    <w:basedOn w:val="P0"/>
    <w:next w:val="P33"/>
    <w:pPr>
      <w:spacing w:before="120"/>
    </w:pPr>
    <w:rPr/>
  </w:style>
  <w:style w:type="paragraph" w:styleId="P34">
    <w:name w:val="Normal Table Text"/>
    <w:basedOn w:val="P0"/>
    <w:next w:val="P34"/>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5">
    <w:name w:val="Balloon Text"/>
    <w:basedOn w:val="P0"/>
    <w:next w:val="P35"/>
    <w:link w:val="C9"/>
    <w:pPr/>
    <w:rPr>
      <w:rFonts w:ascii="Tahoma" w:hAnsi="Tahoma"/>
      <w:sz w:val="16"/>
    </w:rPr>
  </w:style>
  <w:style w:type="paragraph" w:styleId="P36">
    <w:name w:val="Bullet"/>
    <w:basedOn w:val="P4"/>
    <w:next w:val="P4"/>
    <w:pPr/>
    <w:rPr/>
  </w:style>
  <w:style w:type="paragraph" w:styleId="P37">
    <w:name w:val="CSA"/>
    <w:basedOn w:val="P4"/>
    <w:next w:val="P43"/>
    <w:pPr>
      <w:keepNext w:val="1"/>
      <w:spacing w:after="0"/>
    </w:pPr>
    <w:rPr>
      <w:b w:val="1"/>
      <w:caps w:val="1"/>
      <w:sz w:val="20"/>
    </w:rPr>
  </w:style>
  <w:style w:type="paragraph" w:styleId="P38">
    <w:name w:val="Footnote Text"/>
    <w:basedOn w:val="P4"/>
    <w:next w:val="P38"/>
    <w:pPr>
      <w:spacing w:after="0"/>
    </w:pPr>
    <w:rPr>
      <w:rFonts w:ascii="Arial" w:hAnsi="Arial"/>
      <w:sz w:val="16"/>
    </w:rPr>
  </w:style>
  <w:style w:type="paragraph" w:styleId="P39">
    <w:name w:val="Number"/>
    <w:basedOn w:val="P4"/>
    <w:next w:val="P4"/>
    <w:pPr>
      <w:spacing w:after="0"/>
      <w:ind w:hanging="360" w:left="360"/>
    </w:pPr>
    <w:rPr/>
  </w:style>
  <w:style w:type="paragraph" w:styleId="P40">
    <w:name w:val="Tick"/>
    <w:basedOn w:val="P4"/>
    <w:next w:val="P4"/>
    <w:pPr>
      <w:spacing w:after="0"/>
      <w:ind w:hanging="360" w:left="720"/>
    </w:pPr>
    <w:rPr/>
  </w:style>
  <w:style w:type="paragraph" w:styleId="P41">
    <w:name w:val="TOC 1"/>
    <w:basedOn w:val="P4"/>
    <w:next w:val="P64"/>
    <w:pPr>
      <w:tabs>
        <w:tab w:val="right" w:pos="8640" w:leader="dot"/>
      </w:tabs>
      <w:spacing w:after="0"/>
    </w:pPr>
    <w:rPr>
      <w:b w:val="1"/>
    </w:rPr>
  </w:style>
  <w:style w:type="paragraph" w:styleId="P42">
    <w:name w:val="Comment Subject"/>
    <w:basedOn w:val="P5"/>
    <w:next w:val="P5"/>
    <w:link w:val="C11"/>
    <w:pPr>
      <w:spacing w:before="0"/>
    </w:pPr>
    <w:rPr>
      <w:rFonts w:ascii="Times New Roman" w:hAnsi="Times New Roman"/>
      <w:b w:val="1"/>
      <w:sz w:val="20"/>
    </w:rPr>
  </w:style>
  <w:style w:type="paragraph" w:styleId="P43">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4">
    <w:name w:val="Heading 2"/>
    <w:basedOn w:val="P7"/>
    <w:next w:val="P4"/>
    <w:qFormat/>
    <w:pPr>
      <w:keepNext w:val="1"/>
      <w:keepLines w:val="1"/>
      <w:numPr>
        <w:ilvl w:val="1"/>
        <w:numId w:val="3"/>
      </w:numPr>
      <w:spacing w:before="160" w:after="160"/>
      <w:outlineLvl w:val="1"/>
    </w:pPr>
    <w:rPr>
      <w:rFonts w:ascii="Arial" w:hAnsi="Arial"/>
      <w:b w:val="0"/>
    </w:rPr>
  </w:style>
  <w:style w:type="paragraph" w:styleId="P45">
    <w:name w:val="Heading 3"/>
    <w:basedOn w:val="P7"/>
    <w:next w:val="P45"/>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6">
    <w:name w:val="Heading 4"/>
    <w:basedOn w:val="P7"/>
    <w:next w:val="P46"/>
    <w:qFormat/>
    <w:pPr>
      <w:numPr>
        <w:ilvl w:val="3"/>
        <w:numId w:val="3"/>
      </w:numPr>
      <w:tabs>
        <w:tab w:val="clear" w:pos="864" w:leader="none"/>
        <w:tab w:val="left" w:pos="5040" w:leader="none"/>
      </w:tabs>
      <w:ind w:hanging="720" w:left="5040"/>
      <w:outlineLvl w:val="3"/>
    </w:pPr>
    <w:rPr>
      <w:rFonts w:ascii="Arial" w:hAnsi="Arial"/>
      <w:b w:val="0"/>
    </w:rPr>
  </w:style>
  <w:style w:type="paragraph" w:styleId="P47">
    <w:name w:val="Heading 5"/>
    <w:basedOn w:val="P7"/>
    <w:next w:val="P47"/>
    <w:qFormat/>
    <w:pPr>
      <w:numPr>
        <w:ilvl w:val="4"/>
        <w:numId w:val="3"/>
      </w:numPr>
      <w:tabs>
        <w:tab w:val="clear" w:pos="720" w:leader="none"/>
        <w:tab w:val="left" w:pos="5760" w:leader="none"/>
      </w:tabs>
      <w:ind w:hanging="720" w:left="5760"/>
      <w:outlineLvl w:val="4"/>
    </w:pPr>
    <w:rPr>
      <w:rFonts w:ascii="Arial" w:hAnsi="Arial"/>
      <w:b w:val="0"/>
    </w:rPr>
  </w:style>
  <w:style w:type="paragraph" w:styleId="P48">
    <w:name w:val="Heading 6"/>
    <w:basedOn w:val="P7"/>
    <w:next w:val="P4"/>
    <w:qFormat/>
    <w:pPr>
      <w:numPr>
        <w:ilvl w:val="5"/>
        <w:numId w:val="3"/>
      </w:numPr>
      <w:outlineLvl w:val="5"/>
    </w:pPr>
    <w:rPr>
      <w:i w:val="1"/>
      <w:sz w:val="24"/>
    </w:rPr>
  </w:style>
  <w:style w:type="paragraph" w:styleId="P49">
    <w:name w:val="Caption"/>
    <w:basedOn w:val="P7"/>
    <w:next w:val="P0"/>
    <w:qFormat/>
    <w:pPr>
      <w:keepNext w:val="1"/>
      <w:spacing w:after="240"/>
    </w:pPr>
    <w:rPr>
      <w:b w:val="0"/>
      <w:i w:val="1"/>
      <w:sz w:val="20"/>
    </w:rPr>
  </w:style>
  <w:style w:type="paragraph" w:styleId="P50">
    <w:name w:val="Exhibit--Number"/>
    <w:basedOn w:val="P7"/>
    <w:next w:val="P66"/>
    <w:pPr>
      <w:spacing w:before="160"/>
    </w:pPr>
    <w:rPr>
      <w:caps w:val="1"/>
      <w:sz w:val="18"/>
    </w:rPr>
  </w:style>
  <w:style w:type="paragraph" w:styleId="P51">
    <w:name w:val="Title"/>
    <w:basedOn w:val="P7"/>
    <w:next w:val="P51"/>
    <w:qFormat/>
    <w:pPr>
      <w:keepNext w:val="1"/>
      <w:spacing w:before="160" w:after="30"/>
    </w:pPr>
    <w:rPr>
      <w:sz w:val="20"/>
    </w:rPr>
  </w:style>
  <w:style w:type="paragraph" w:styleId="P52">
    <w:name w:val="Table Body"/>
    <w:basedOn w:val="P12"/>
    <w:next w:val="P52"/>
    <w:pPr>
      <w:jc w:val="left"/>
    </w:pPr>
    <w:rPr>
      <w:b w:val="0"/>
    </w:rPr>
  </w:style>
  <w:style w:type="paragraph" w:styleId="P53">
    <w:name w:val="Table Heading"/>
    <w:basedOn w:val="P21"/>
    <w:next w:val="P53"/>
    <w:pPr>
      <w:jc w:val="center"/>
    </w:pPr>
    <w:rPr>
      <w:b w:val="1"/>
    </w:rPr>
  </w:style>
  <w:style w:type="paragraph" w:styleId="P54">
    <w:name w:val="Table Heading2"/>
    <w:basedOn w:val="P21"/>
    <w:next w:val="P54"/>
    <w:pPr>
      <w:jc w:val="center"/>
    </w:pPr>
    <w:rPr>
      <w:b w:val="1"/>
    </w:rPr>
  </w:style>
  <w:style w:type="paragraph" w:styleId="P55">
    <w:name w:val="Table Heading4"/>
    <w:basedOn w:val="P21"/>
    <w:next w:val="P55"/>
    <w:pPr>
      <w:jc w:val="center"/>
    </w:pPr>
    <w:rPr>
      <w:b w:val="1"/>
    </w:rPr>
  </w:style>
  <w:style w:type="paragraph" w:styleId="P56">
    <w:name w:val="Table Heading5"/>
    <w:basedOn w:val="P21"/>
    <w:next w:val="P56"/>
    <w:pPr>
      <w:jc w:val="center"/>
    </w:pPr>
    <w:rPr>
      <w:b w:val="1"/>
    </w:rPr>
  </w:style>
  <w:style w:type="paragraph" w:styleId="P57">
    <w:name w:val="Table Heading6"/>
    <w:basedOn w:val="P21"/>
    <w:next w:val="P57"/>
    <w:pPr>
      <w:jc w:val="center"/>
    </w:pPr>
    <w:rPr>
      <w:b w:val="1"/>
    </w:rPr>
  </w:style>
  <w:style w:type="paragraph" w:styleId="P58">
    <w:name w:val="Table Heading9"/>
    <w:basedOn w:val="P21"/>
    <w:next w:val="P58"/>
    <w:pPr>
      <w:jc w:val="center"/>
    </w:pPr>
    <w:rPr>
      <w:b w:val="1"/>
    </w:rPr>
  </w:style>
  <w:style w:type="paragraph" w:styleId="P59">
    <w:name w:val="Table Heading10"/>
    <w:basedOn w:val="P21"/>
    <w:next w:val="P59"/>
    <w:pPr>
      <w:jc w:val="center"/>
    </w:pPr>
    <w:rPr>
      <w:b w:val="1"/>
    </w:rPr>
  </w:style>
  <w:style w:type="paragraph" w:styleId="P60">
    <w:name w:val="Table Heading11"/>
    <w:basedOn w:val="P21"/>
    <w:next w:val="P60"/>
    <w:pPr>
      <w:jc w:val="center"/>
    </w:pPr>
    <w:rPr>
      <w:b w:val="1"/>
    </w:rPr>
  </w:style>
  <w:style w:type="paragraph" w:styleId="P61">
    <w:name w:val="Table Heading13"/>
    <w:basedOn w:val="P21"/>
    <w:next w:val="P61"/>
    <w:pPr>
      <w:jc w:val="center"/>
    </w:pPr>
    <w:rPr>
      <w:b w:val="1"/>
    </w:rPr>
  </w:style>
  <w:style w:type="paragraph" w:styleId="P62">
    <w:name w:val="Table Heading14"/>
    <w:basedOn w:val="P21"/>
    <w:next w:val="P62"/>
    <w:pPr>
      <w:jc w:val="center"/>
    </w:pPr>
    <w:rPr>
      <w:b w:val="1"/>
    </w:rPr>
  </w:style>
  <w:style w:type="paragraph" w:styleId="P63">
    <w:name w:val="List Bullet"/>
    <w:basedOn w:val="P36"/>
    <w:next w:val="P63"/>
    <w:pPr>
      <w:numPr>
        <w:numId w:val="2"/>
      </w:numPr>
    </w:pPr>
    <w:rPr/>
  </w:style>
  <w:style w:type="paragraph" w:styleId="P64">
    <w:name w:val="TOC 2"/>
    <w:basedOn w:val="P41"/>
    <w:next w:val="P68"/>
    <w:pPr>
      <w:tabs>
        <w:tab w:val="left" w:pos="1008" w:leader="none"/>
      </w:tabs>
      <w:ind w:left="720"/>
    </w:pPr>
    <w:rPr>
      <w:b w:val="0"/>
    </w:rPr>
  </w:style>
  <w:style w:type="paragraph" w:styleId="P65">
    <w:name w:val="Contents"/>
    <w:basedOn w:val="P43"/>
    <w:next w:val="P4"/>
    <w:pPr/>
    <w:rPr/>
  </w:style>
  <w:style w:type="paragraph" w:styleId="P66">
    <w:name w:val="Exhibit--Title"/>
    <w:basedOn w:val="P50"/>
    <w:next w:val="P69"/>
    <w:pPr>
      <w:spacing w:before="0"/>
    </w:pPr>
    <w:rPr>
      <w:b w:val="1"/>
      <w:caps w:val="0"/>
      <w:sz w:val="20"/>
    </w:rPr>
  </w:style>
  <w:style w:type="paragraph" w:styleId="P67">
    <w:name w:val="Table Notes"/>
    <w:basedOn w:val="P52"/>
    <w:next w:val="P67"/>
    <w:pPr>
      <w:spacing w:after="320"/>
    </w:pPr>
    <w:rPr/>
  </w:style>
  <w:style w:type="paragraph" w:styleId="P68">
    <w:name w:val="TOC 3"/>
    <w:basedOn w:val="P64"/>
    <w:next w:val="P68"/>
    <w:pPr>
      <w:tabs>
        <w:tab w:val="clear" w:pos="1008" w:leader="none"/>
        <w:tab w:val="left" w:pos="1728" w:leader="none"/>
      </w:tabs>
      <w:ind w:left="1440"/>
    </w:pPr>
    <w:rPr/>
  </w:style>
  <w:style w:type="paragraph" w:styleId="P69">
    <w:name w:val="Exhibit--Caption"/>
    <w:basedOn w:val="P66"/>
    <w:next w:val="P4"/>
    <w:pPr/>
    <w:rPr>
      <w:i w:val="1"/>
    </w:rPr>
  </w:style>
  <w:style w:type="paragraph" w:styleId="P70">
    <w:name w:val="TOC 4"/>
    <w:basedOn w:val="P6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5"/>
    <w:rPr>
      <w:rFonts w:ascii="Arial" w:hAnsi="Arial"/>
      <w:b w:val="0"/>
    </w:rPr>
  </w:style>
  <w:style w:type="character" w:styleId="C8">
    <w:name w:val="Choice"/>
    <w:rPr>
      <w:rFonts w:ascii="Times New Roman" w:hAnsi="Times New Roman"/>
      <w:b w:val="1"/>
      <w:sz w:val="24"/>
    </w:rPr>
  </w:style>
  <w:style w:type="character" w:styleId="C9">
    <w:name w:val="Balloon Text Char"/>
    <w:link w:val="P35"/>
    <w:rPr>
      <w:rFonts w:ascii="Tahoma" w:hAnsi="Tahoma"/>
      <w:sz w:val="16"/>
    </w:rPr>
  </w:style>
  <w:style w:type="character" w:styleId="C10">
    <w:name w:val="Comment Text Char"/>
    <w:link w:val="P5"/>
    <w:rPr>
      <w:rFonts w:ascii="Arial" w:hAnsi="Arial"/>
    </w:rPr>
  </w:style>
  <w:style w:type="character" w:styleId="C11">
    <w:name w:val="Comment Subject Char"/>
    <w:link w:val="P42"/>
    <w:rPr>
      <w:rFonts w:ascii="Times New Roman" w:hAnsi="Times New Roman"/>
      <w:b w:val="1"/>
      <w:sz w:val="20"/>
    </w:rPr>
  </w:style>
  <w:style w:type="character" w:styleId="C12">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2017-08-17T19:00:00Z</dcterms:created>
  <cp:lastModifiedBy>Ray</cp:lastModifiedBy>
  <cp:lastPrinted>2006-06-22T13:57:00Z</cp:lastPrinted>
  <dcterms:modified xsi:type="dcterms:W3CDTF">2022-10-04T19:39:02Z</dcterms:modified>
  <cp:revision>5</cp:revision>
  <dc:title>15200-15_High_Density_Polyethylene_(HDPE)_Pipe_And_Fittings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2017-08-16T00:00:00Z</vt:lpwstr>
  </property>
  <property fmtid="{D5CDD505-2E9C-101B-9397-08002B2CF9AE}" pid="4" name="ContentTypeId">
    <vt:lpwstr>0x0101001E76F5F51B06864FADA04BB3B6DF741B</vt:lpwstr>
  </property>
  <property fmtid="{D5CDD505-2E9C-101B-9397-08002B2CF9AE}" pid="5" name="_dlc_DocId">
    <vt:lpwstr>ENVCPD-83-1415</vt:lpwstr>
  </property>
  <property fmtid="{D5CDD505-2E9C-101B-9397-08002B2CF9AE}" pid="6" name="_dlc_DocIdItemGuid">
    <vt:lpwstr>1a4f31bb-acfe-4137-921b-2453befb848b</vt:lpwstr>
  </property>
  <property fmtid="{D5CDD505-2E9C-101B-9397-08002B2CF9AE}" pid="7" name="_dlc_DocIdUrl">
    <vt:lpwstr>https://mycloud.york.ca/projects/EnvServProgramDeliveryOffice/ProjectServer/AEL/_layouts/DocIdRedir.aspx?ID=ENVCPD-83-1415, ENVCPD-83-1415</vt:lpwstr>
  </property>
</Properties>
</file>