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4FE693B" Type="http://schemas.openxmlformats.org/officeDocument/2006/relationships/officeDocument" Target="/word/document.xml" /><Relationship Id="coreR24FE693B" Type="http://schemas.openxmlformats.org/package/2006/relationships/metadata/core-properties" Target="/docProps/core.xml" /><Relationship Id="customR24FE693B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24,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rPr>
          <w:rFonts w:ascii="Calibri" w:hAnsi="Calibri"/>
          <w:b w:val="1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type w:val="nextPage"/>
          <w:pgMar w:left="720" w:right="720" w:top="720" w:bottom="288" w:header="720" w:footer="720" w:gutter="0"/>
          <w:cols w:equalWidth="1" w:space="720"/>
        </w:sectPr>
      </w:pPr>
    </w:p>
    <w:tbl>
      <w:tblPr>
        <w:tblStyle w:val="T2"/>
        <w:tblpPr w:leftFromText="180" w:rightFromText="180" w:tblpX="1" w:tblpY="2481" w:horzAnchor="margin" w:vertAnchor="page" w:tblpXSpec="center"/>
        <w:tblW w:w="14598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</w:tblPr>
      <w:tblGrid/>
      <w:tr>
        <w:trPr>
          <w:wAfter w:w="0" w:type="dxa"/>
          <w:trHeight w:hRule="atLeast" w:val="250"/>
        </w:trPr>
        <w:tc>
          <w:tcPr>
            <w:tcW w:w="1638" w:type="dxa"/>
            <w:vMerge w:val="restart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1350" w:type="dxa"/>
            <w:vMerge w:val="restart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Service</w:t>
            </w:r>
          </w:p>
        </w:tc>
        <w:tc>
          <w:tcPr>
            <w:tcW w:w="1530" w:type="dxa"/>
            <w:vMerge w:val="restart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Section</w:t>
            </w:r>
          </w:p>
        </w:tc>
        <w:tc>
          <w:tcPr>
            <w:tcW w:w="3600" w:type="dxa"/>
            <w:gridSpan w:val="3"/>
            <w:tcBorders>
              <w:left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SMACNA Duct Construction Criteria</w:t>
            </w:r>
          </w:p>
        </w:tc>
        <w:tc>
          <w:tcPr>
            <w:tcW w:w="3960" w:type="dxa"/>
            <w:gridSpan w:val="4"/>
            <w:tcBorders>
              <w:left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SMACNA Leakage Testing Criteria</w:t>
            </w:r>
          </w:p>
        </w:tc>
        <w:tc>
          <w:tcPr>
            <w:tcW w:w="2520" w:type="dxa"/>
            <w:vMerge w:val="restart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Applicable Remarks</w:t>
            </w:r>
          </w:p>
        </w:tc>
      </w:tr>
      <w:tr>
        <w:trPr>
          <w:wAfter w:w="0" w:type="dxa"/>
          <w:trHeight w:hRule="atLeast" w:val="686"/>
        </w:trPr>
        <w:tc>
          <w:tcPr>
            <w:tcW w:w="1638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Pressure Class (Pa)</w:t>
            </w:r>
          </w:p>
        </w:tc>
        <w:tc>
          <w:tcPr>
            <w:tcW w:w="144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Materials of construction</w:t>
            </w:r>
          </w:p>
        </w:tc>
        <w:tc>
          <w:tcPr>
            <w:tcW w:w="99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Seal Class</w:t>
            </w:r>
          </w:p>
        </w:tc>
        <w:tc>
          <w:tcPr>
            <w:tcW w:w="990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Quantity to Test Percent</w:t>
            </w:r>
          </w:p>
        </w:tc>
        <w:tc>
          <w:tcPr>
            <w:tcW w:w="99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Test Pressure Pa</w:t>
            </w:r>
          </w:p>
        </w:tc>
        <w:tc>
          <w:tcPr>
            <w:tcW w:w="90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Leakage Class (CL)</w:t>
            </w:r>
          </w:p>
        </w:tc>
        <w:tc>
          <w:tcPr>
            <w:tcW w:w="108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Leakage Factor (F)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L/s/m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2520" w:type="dxa"/>
            <w:vMerge w:val="continue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vMerge w:val="restart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jc w:val="center"/>
              <w:rPr>
                <w:sz w:val="20"/>
              </w:rPr>
            </w:pPr>
            <w:r>
              <w:rPr>
                <w:sz w:val="20"/>
              </w:rPr>
              <w:t>AHU-XXX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jc w:val="center"/>
              <w:rPr>
                <w:sz w:val="20"/>
              </w:rPr>
            </w:pPr>
            <w:r>
              <w:rPr>
                <w:sz w:val="20"/>
              </w:rPr>
              <w:t>Air Handler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jc w:val="center"/>
              <w:rPr>
                <w:sz w:val="20"/>
              </w:rPr>
            </w:pPr>
            <w:r>
              <w:rPr>
                <w:sz w:val="20"/>
              </w:rPr>
              <w:t>Variable Air Volume</w:t>
            </w:r>
          </w:p>
        </w:tc>
        <w:tc>
          <w:tcPr>
            <w:tcW w:w="1350" w:type="dxa"/>
            <w:tcBorders>
              <w:top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Supply Air</w:t>
            </w:r>
          </w:p>
        </w:tc>
        <w:tc>
          <w:tcPr>
            <w:tcW w:w="1530" w:type="dxa"/>
            <w:tcBorders>
              <w:top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Air Handler To Terminal</w:t>
            </w:r>
          </w:p>
        </w:tc>
        <w:tc>
          <w:tcPr>
            <w:tcW w:w="1170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vMerge w:val="continue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Supply Air</w:t>
            </w:r>
          </w:p>
        </w:tc>
        <w:tc>
          <w:tcPr>
            <w:tcW w:w="1530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Terminal To Diffusers</w:t>
            </w:r>
          </w:p>
        </w:tc>
        <w:tc>
          <w:tcPr>
            <w:tcW w:w="117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vMerge w:val="continue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Outdoor Air</w:t>
            </w:r>
          </w:p>
        </w:tc>
        <w:tc>
          <w:tcPr>
            <w:tcW w:w="1530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117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Return air</w:t>
            </w:r>
          </w:p>
        </w:tc>
        <w:tc>
          <w:tcPr>
            <w:tcW w:w="1530" w:type="dxa"/>
            <w:tcBorders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1170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vMerge w:val="restart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jc w:val="center"/>
              <w:rPr>
                <w:sz w:val="20"/>
              </w:rPr>
            </w:pPr>
            <w:r>
              <w:rPr>
                <w:sz w:val="20"/>
              </w:rPr>
              <w:t>AHU-XXX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jc w:val="center"/>
              <w:rPr>
                <w:sz w:val="20"/>
              </w:rPr>
            </w:pPr>
            <w:r>
              <w:rPr>
                <w:sz w:val="20"/>
              </w:rPr>
              <w:t>Air Handler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jc w:val="center"/>
              <w:rPr>
                <w:sz w:val="20"/>
              </w:rPr>
            </w:pPr>
            <w:r>
              <w:rPr>
                <w:sz w:val="20"/>
              </w:rPr>
              <w:t>Constant Air Volume</w:t>
            </w:r>
          </w:p>
        </w:tc>
        <w:tc>
          <w:tcPr>
            <w:tcW w:w="1350" w:type="dxa"/>
            <w:tcBorders>
              <w:top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Supply Air</w:t>
            </w:r>
          </w:p>
        </w:tc>
        <w:tc>
          <w:tcPr>
            <w:tcW w:w="1530" w:type="dxa"/>
            <w:tcBorders>
              <w:top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1170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vMerge w:val="continue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Outdoor Air</w:t>
            </w:r>
          </w:p>
        </w:tc>
        <w:tc>
          <w:tcPr>
            <w:tcW w:w="1530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117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Return air</w:t>
            </w:r>
          </w:p>
        </w:tc>
        <w:tc>
          <w:tcPr>
            <w:tcW w:w="1530" w:type="dxa"/>
            <w:tcBorders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Áll</w:t>
            </w:r>
          </w:p>
        </w:tc>
        <w:tc>
          <w:tcPr>
            <w:tcW w:w="1170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vMerge w:val="restart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jc w:val="center"/>
              <w:rPr>
                <w:sz w:val="20"/>
              </w:rPr>
            </w:pPr>
            <w:r>
              <w:rPr>
                <w:sz w:val="20"/>
              </w:rPr>
              <w:t>EF-XXX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jc w:val="center"/>
              <w:rPr>
                <w:sz w:val="20"/>
              </w:rPr>
            </w:pPr>
            <w:r>
              <w:rPr>
                <w:sz w:val="20"/>
              </w:rPr>
              <w:t>Exhaust Fan</w:t>
            </w:r>
          </w:p>
        </w:tc>
        <w:tc>
          <w:tcPr>
            <w:tcW w:w="1350" w:type="dxa"/>
            <w:tcBorders>
              <w:top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Exhaust Air</w:t>
            </w:r>
          </w:p>
        </w:tc>
        <w:tc>
          <w:tcPr>
            <w:tcW w:w="1530" w:type="dxa"/>
            <w:tcBorders>
              <w:top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From Exhaust Grille to Fan</w:t>
            </w:r>
          </w:p>
        </w:tc>
        <w:tc>
          <w:tcPr>
            <w:tcW w:w="1170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Exhaust Air</w:t>
            </w:r>
          </w:p>
        </w:tc>
        <w:tc>
          <w:tcPr>
            <w:tcW w:w="1530" w:type="dxa"/>
            <w:tcBorders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From Fan to Outlet</w:t>
            </w:r>
          </w:p>
        </w:tc>
        <w:tc>
          <w:tcPr>
            <w:tcW w:w="1170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tcBorders>
              <w:top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EF-XXX</w:t>
            </w:r>
          </w:p>
        </w:tc>
        <w:tc>
          <w:tcPr>
            <w:tcW w:w="1350" w:type="dxa"/>
            <w:tcBorders>
              <w:top w:val="single" w:sz="8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Exhaust Air</w:t>
            </w:r>
          </w:p>
        </w:tc>
        <w:tc>
          <w:tcPr>
            <w:tcW w:w="1530" w:type="dxa"/>
            <w:tcBorders>
              <w:top w:val="single" w:sz="8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1170" w:type="dxa"/>
            <w:tcBorders>
              <w:top w:val="single" w:sz="8" w:space="0" w:shadow="0" w:frame="0"/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8" w:space="0" w:shadow="0" w:frame="0"/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8" w:space="0" w:shadow="0" w:frame="0"/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tcBorders>
              <w:top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Miscellaneous</w:t>
            </w:r>
          </w:p>
        </w:tc>
        <w:tc>
          <w:tcPr>
            <w:tcW w:w="1350" w:type="dxa"/>
            <w:tcBorders>
              <w:top w:val="single" w:sz="8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Transfer Air</w:t>
            </w:r>
          </w:p>
        </w:tc>
        <w:tc>
          <w:tcPr>
            <w:tcW w:w="1530" w:type="dxa"/>
            <w:tcBorders>
              <w:top w:val="single" w:sz="8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1170" w:type="dxa"/>
            <w:tcBorders>
              <w:top w:val="single" w:sz="8" w:space="0" w:shadow="0" w:frame="0"/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8" w:space="0" w:shadow="0" w:frame="0"/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8" w:space="0" w:shadow="0" w:frame="0"/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Systems Not Addressed Above</w:t>
            </w:r>
          </w:p>
        </w:tc>
        <w:tc>
          <w:tcPr>
            <w:tcW w:w="1350" w:type="dxa"/>
            <w:tcBorders>
              <w:top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1530" w:type="dxa"/>
            <w:tcBorders>
              <w:top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1170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378"/>
        </w:trPr>
        <w:tc>
          <w:tcPr>
            <w:tcW w:w="14598" w:type="dxa"/>
            <w:gridSpan w:val="11"/>
            <w:tcBorders>
              <w:top w:val="single" w:sz="8" w:space="0" w:shadow="0" w:frame="0"/>
              <w:bottom w:val="double" w:sz="4" w:space="0" w:shadow="0" w:frame="0"/>
            </w:tcBorders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rFonts w:ascii="Arial" w:hAnsi="Arial"/>
                <w:sz w:val="16"/>
              </w:rPr>
            </w:pPr>
            <w:r>
              <w:rPr>
                <w:sz w:val="20"/>
              </w:rPr>
              <w:t xml:space="preserve">A:      Refer Section 15815, Fiberglass Reinforced Plastic Ductwork And Accessories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B: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</w:p>
        </w:tc>
      </w:tr>
    </w:tbl>
    <w:p/>
    <w:sectPr>
      <w:type w:val="nextPage"/>
      <w:pgSz w:w="15840" w:h="12240" w:orient="landscape"/>
      <w:pgMar w:left="720" w:right="720" w:top="720" w:bottom="72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yellow"/>
      </w:rPr>
      <w:t>.... [Insert Region Number]</w:t>
    </w:r>
    <w:r>
      <w:tab/>
      <w:t>Section 15810-01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DUCTWORK SCHEDULE</w:t>
    </w:r>
    <w:r>
      <w:tab/>
      <w:t>2015-09-24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4580" w:leader="none"/>
      </w:tabs>
    </w:pPr>
    <w:r>
      <w:t>Section 15810-01</w:t>
      <w:tab/>
      <w:t>CONTRACT NO</w:t>
    </w:r>
    <w:r>
      <w:rPr>
        <w:highlight w:val="yellow"/>
      </w:rPr>
      <w:t>.... [Insert Region Number]</w:t>
    </w:r>
    <w:r>
      <w:t xml:space="preserve"> </w:t>
    </w:r>
  </w:p>
  <w:p>
    <w:pPr>
      <w:pBdr>
        <w:top w:val="single" w:sz="4" w:space="0" w:shadow="0" w:frame="0"/>
      </w:pBdr>
      <w:tabs>
        <w:tab w:val="center" w:pos="7200" w:leader="none"/>
        <w:tab w:val="right" w:pos="14580" w:leader="none"/>
      </w:tabs>
    </w:pPr>
    <w:r>
      <w:t>2015-09-24</w:t>
      <w:tab/>
    </w:r>
    <w:r>
      <w:rPr>
        <w:b w:val="1"/>
      </w:rPr>
      <w:t>DUCTWORK SCHEDULE</w:t>
    </w:r>
    <w:r>
      <w:tab/>
    </w:r>
  </w:p>
  <w:p>
    <w:pPr>
      <w:pBdr>
        <w:top w:val="single" w:sz="4" w:space="0" w:shadow="0" w:frame="0"/>
      </w:pBdr>
      <w:tabs>
        <w:tab w:val="center" w:pos="7920" w:leader="none"/>
        <w:tab w:val="right" w:pos="14580" w:leader="none"/>
      </w:tabs>
      <w:rPr>
        <w:highlight w:val="lightGray"/>
      </w:rPr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283F5A28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2015-09-24T17:43:00Z</dcterms:created>
  <cp:lastModifiedBy>Ray</cp:lastModifiedBy>
  <cp:lastPrinted>2015-09-17T16:03:00Z</cp:lastPrinted>
  <dcterms:modified xsi:type="dcterms:W3CDTF">2022-10-04T19:39:03Z</dcterms:modified>
  <cp:revision>6</cp:revision>
  <dc:title>15810-01_Ductwork_Schedule (Sep 24,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2015-09-24T00:00:00Z</vt:lpwstr>
  </property>
</Properties>
</file>