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E45ABE0" Type="http://schemas.openxmlformats.org/officeDocument/2006/relationships/officeDocument" Target="word/document.xml"/><Relationship Id="coreR5E45ABE0" Type="http://schemas.openxmlformats.org/package/2006/relationships/metadata/core-properties" Target="docProps/core.xml"/><Relationship Id="customR5E45ABE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184" w:type="dxa"/>
          </w:tcPr>
          <w:p>
            <w:pPr>
              <w:pStyle w:val="P35"/>
              <w:rPr>
                <w:rFonts w:ascii="Calibri" w:hAnsi="Calibri"/>
                <w:sz w:val="22"/>
              </w:rPr>
            </w:pPr>
            <w:r>
              <w:rPr>
                <w:rFonts w:ascii="Calibri" w:hAnsi="Calibri"/>
                <w:sz w:val="22"/>
              </w:rPr>
              <w:t>Version</w:t>
            </w:r>
          </w:p>
        </w:tc>
        <w:tc>
          <w:tcPr>
            <w:tcW w:w="1980" w:type="dxa"/>
          </w:tcPr>
          <w:p>
            <w:pPr>
              <w:pStyle w:val="P35"/>
              <w:rPr>
                <w:rFonts w:ascii="Calibri" w:hAnsi="Calibri"/>
                <w:sz w:val="22"/>
              </w:rPr>
            </w:pPr>
            <w:r>
              <w:rPr>
                <w:rFonts w:ascii="Calibri" w:hAnsi="Calibri"/>
                <w:sz w:val="22"/>
              </w:rPr>
              <w:t>Date</w:t>
            </w:r>
          </w:p>
        </w:tc>
        <w:tc>
          <w:tcPr>
            <w:tcW w:w="5863" w:type="dxa"/>
          </w:tcPr>
          <w:p>
            <w:pPr>
              <w:pStyle w:val="P35"/>
              <w:rPr>
                <w:rFonts w:ascii="Calibri" w:hAnsi="Calibri"/>
                <w:sz w:val="22"/>
              </w:rPr>
            </w:pPr>
            <w:r>
              <w:rPr>
                <w:rFonts w:ascii="Calibri" w:hAnsi="Calibri"/>
                <w:sz w:val="22"/>
              </w:rPr>
              <w:t>Description of Revisions</w:t>
            </w:r>
          </w:p>
        </w:tc>
      </w:tr>
      <w:tr>
        <w:trPr>
          <w:wAfter w:w="0" w:type="dxa"/>
        </w:trPr>
        <w:tc>
          <w:tcPr>
            <w:tcW w:w="1184" w:type="dxa"/>
          </w:tcPr>
          <w:p>
            <w:pPr>
              <w:pStyle w:val="P21"/>
              <w:jc w:val="center"/>
              <w:rPr>
                <w:rFonts w:ascii="Calibri" w:hAnsi="Calibri"/>
                <w:sz w:val="22"/>
              </w:rPr>
            </w:pPr>
            <w:r>
              <w:rPr>
                <w:rFonts w:ascii="Calibri" w:hAnsi="Calibri"/>
                <w:sz w:val="22"/>
              </w:rPr>
              <w:t>1</w:t>
            </w:r>
          </w:p>
        </w:tc>
        <w:tc>
          <w:tcPr>
            <w:tcW w:w="1980" w:type="dxa"/>
          </w:tcPr>
          <w:p>
            <w:pPr>
              <w:pStyle w:val="P21"/>
              <w:rPr>
                <w:rFonts w:ascii="Calibri" w:hAnsi="Calibri"/>
                <w:sz w:val="22"/>
              </w:rPr>
            </w:pPr>
            <w:r>
              <w:rPr>
                <w:rFonts w:ascii="Calibri" w:hAnsi="Calibri"/>
                <w:sz w:val="22"/>
              </w:rPr>
              <w:t>January 22, 2020</w:t>
            </w:r>
          </w:p>
        </w:tc>
        <w:tc>
          <w:tcPr>
            <w:tcW w:w="5863" w:type="dxa"/>
          </w:tcPr>
          <w:p>
            <w:pPr>
              <w:pStyle w:val="P21"/>
              <w:rPr>
                <w:rFonts w:ascii="Calibri" w:hAnsi="Calibri"/>
                <w:sz w:val="22"/>
              </w:rPr>
            </w:pPr>
            <w:r>
              <w:rPr>
                <w:rFonts w:ascii="Calibri" w:hAnsi="Calibri"/>
                <w:sz w:val="22"/>
              </w:rPr>
              <w:t>Initial release (BM)</w:t>
            </w:r>
          </w:p>
        </w:tc>
      </w:tr>
      <w:tr>
        <w:trPr>
          <w:wAfter w:w="0" w:type="dxa"/>
        </w:trPr>
        <w:tc>
          <w:tcPr>
            <w:tcW w:w="1184" w:type="dxa"/>
          </w:tcPr>
          <w:p>
            <w:pPr>
              <w:pStyle w:val="P21"/>
              <w:jc w:val="center"/>
              <w:rPr>
                <w:rFonts w:ascii="Calibri" w:hAnsi="Calibri"/>
                <w:sz w:val="22"/>
              </w:rPr>
            </w:pPr>
            <w:r>
              <w:rPr>
                <w:rFonts w:ascii="Calibri" w:hAnsi="Calibri"/>
                <w:sz w:val="22"/>
              </w:rPr>
              <w:t>2</w:t>
            </w:r>
          </w:p>
        </w:tc>
        <w:tc>
          <w:tcPr>
            <w:tcW w:w="1980" w:type="dxa"/>
          </w:tcPr>
          <w:p>
            <w:pPr>
              <w:pStyle w:val="P21"/>
              <w:rPr>
                <w:rFonts w:ascii="Calibri" w:hAnsi="Calibri"/>
                <w:sz w:val="22"/>
              </w:rPr>
            </w:pPr>
            <w:r>
              <w:rPr>
                <w:rFonts w:ascii="Calibri" w:hAnsi="Calibri"/>
                <w:sz w:val="22"/>
              </w:rPr>
              <w:t>June 5, 2020</w:t>
            </w:r>
          </w:p>
        </w:tc>
        <w:tc>
          <w:tcPr>
            <w:tcW w:w="5863" w:type="dxa"/>
          </w:tcPr>
          <w:p>
            <w:pPr>
              <w:pStyle w:val="P21"/>
              <w:rPr>
                <w:rFonts w:ascii="Calibri" w:hAnsi="Calibri"/>
                <w:sz w:val="22"/>
              </w:rPr>
            </w:pPr>
            <w:r>
              <w:rPr>
                <w:rFonts w:ascii="Calibri" w:hAnsi="Calibri"/>
                <w:sz w:val="22"/>
              </w:rPr>
              <w:t>Revised Group #5 Table (BM)</w:t>
            </w:r>
          </w:p>
        </w:tc>
      </w:tr>
    </w:tbl>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
      <w:pPr>
        <w:pStyle w:val="P36"/>
      </w:pPr>
      <w:r>
        <w:br w:type="page"/>
        <w:t>GENERAL</w:t>
      </w:r>
    </w:p>
    <w:p>
      <w:pPr>
        <w:pStyle w:val="P37"/>
      </w:pPr>
      <w:r>
        <w:t>General</w:t>
      </w:r>
    </w:p>
    <w:p>
      <w:pPr>
        <w:pStyle w:val="P38"/>
        <w:numPr>
          <w:ilvl w:val="2"/>
          <w:numId w:val="0"/>
        </w:numPr>
        <w:ind w:left="720"/>
      </w:pPr>
      <w:r>
        <w:t>This specification defines the requirements for mechanical identification of facilities piping systems including flammable materials, fire fighting (protection), dangerous substances, other chemical substances and process and drainage piping.</w:t>
      </w:r>
    </w:p>
    <w:p>
      <w:pPr>
        <w:pStyle w:val="P37"/>
      </w:pPr>
      <w:r>
        <w:t>Related Sections</w:t>
      </w:r>
    </w:p>
    <w:p>
      <w:pPr>
        <w:pStyle w:val="P38"/>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rPr>
          <w:highlight w:val="yellow"/>
        </w:rPr>
      </w:pPr>
    </w:p>
    <w:p>
      <w:pPr>
        <w:pStyle w:val="P38"/>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rPr>
          <w:highlight w:val="yellow"/>
        </w:rPr>
      </w:pPr>
    </w:p>
    <w:p>
      <w:pPr>
        <w:pStyle w:val="P38"/>
        <w:numPr>
          <w:ilvl w:val="2"/>
          <w:numId w:val="0"/>
        </w:numPr>
        <w:ind w:left="720"/>
        <w:rPr>
          <w:i w:val="1"/>
          <w:highlight w:val="yellow"/>
        </w:rPr>
      </w:pPr>
      <w:r>
        <w:rPr>
          <w:i w:val="1"/>
          <w:highlight w:val="yellow"/>
        </w:rPr>
        <w:t>Contractor is responsible for coordination of the Work.</w:t>
      </w:r>
    </w:p>
    <w:p>
      <w:pPr>
        <w:rPr>
          <w:highlight w:val="yellow"/>
        </w:rPr>
      </w:pPr>
    </w:p>
    <w:p>
      <w:pPr>
        <w:pStyle w:val="P38"/>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rPr>
          <w:highlight w:val="yellow"/>
        </w:rPr>
      </w:pPr>
    </w:p>
    <w:p>
      <w:pPr>
        <w:pStyle w:val="P38"/>
        <w:numPr>
          <w:ilvl w:val="2"/>
          <w:numId w:val="0"/>
        </w:numPr>
        <w:ind w:left="720"/>
        <w:rPr>
          <w:i w:val="1"/>
        </w:rPr>
      </w:pPr>
      <w:r>
        <w:rPr>
          <w:i w:val="1"/>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
      <w:pPr>
        <w:pStyle w:val="P38"/>
        <w:numPr>
          <w:ilvl w:val="2"/>
          <w:numId w:val="0"/>
        </w:numPr>
        <w:ind w:left="720"/>
        <w:rPr>
          <w:i w:val="1"/>
        </w:rPr>
      </w:pPr>
      <w:r>
        <w:rPr>
          <w:i w:val="1"/>
          <w:highlight w:val="yellow"/>
        </w:rPr>
        <w:t>[List Sections specifying products installed but not supplied under this Section and indicate specific items.]</w:t>
      </w:r>
    </w:p>
    <w:p>
      <w:pPr>
        <w:pStyle w:val="P38"/>
        <w:numPr>
          <w:ilvl w:val="2"/>
          <w:numId w:val="0"/>
        </w:numPr>
        <w:ind w:left="720"/>
      </w:pPr>
      <w:r>
        <w:t xml:space="preserve">Section </w:t>
      </w:r>
      <w:r>
        <w:rPr>
          <w:highlight w:val="yellow"/>
        </w:rPr>
        <w:t>[______ – ____________]</w:t>
      </w:r>
      <w:r>
        <w:t xml:space="preserve">:  Product requirements for ...[item]...  for installation under this Section.</w:t>
      </w:r>
    </w:p>
    <w:p/>
    <w:p>
      <w:pPr>
        <w:pStyle w:val="P38"/>
        <w:numPr>
          <w:ilvl w:val="2"/>
          <w:numId w:val="0"/>
        </w:numPr>
        <w:ind w:left="720"/>
        <w:rPr>
          <w:i w:val="1"/>
        </w:rPr>
      </w:pPr>
      <w:r>
        <w:rPr>
          <w:i w:val="1"/>
          <w:highlight w:val="yellow"/>
        </w:rPr>
        <w:t>[List Sections specifying related requirements.]</w:t>
      </w:r>
    </w:p>
    <w:p>
      <w:pPr>
        <w:pStyle w:val="P38"/>
      </w:pPr>
      <w:r>
        <w:t xml:space="preserve">Section </w:t>
      </w:r>
      <w:r>
        <w:rPr>
          <w:highlight w:val="yellow"/>
        </w:rPr>
        <w:t xml:space="preserve">[______ – ____________]:  [Optional short phrase indicating relationship].</w:t>
      </w:r>
    </w:p>
    <w:p>
      <w:pPr>
        <w:pStyle w:val="P39"/>
      </w:pPr>
      <w:r>
        <w:t>Section 01300 – Submittals</w:t>
      </w:r>
    </w:p>
    <w:p>
      <w:pPr>
        <w:pStyle w:val="P39"/>
      </w:pPr>
      <w:r>
        <w:t>Section 09900 – Painting and Protective Coatings</w:t>
      </w:r>
    </w:p>
    <w:p>
      <w:pPr>
        <w:pStyle w:val="P39"/>
      </w:pPr>
      <w:r>
        <w:t>Section 15100 – Plumbing Piping</w:t>
      </w:r>
    </w:p>
    <w:p>
      <w:pPr>
        <w:pStyle w:val="P39"/>
      </w:pPr>
      <w:r>
        <w:t>Section 15760 – Terminal Heat Transfer Units</w:t>
      </w:r>
    </w:p>
    <w:p>
      <w:pPr>
        <w:pStyle w:val="P39"/>
      </w:pPr>
      <w:r>
        <w:t>Section 15830 – Fans</w:t>
      </w:r>
    </w:p>
    <w:p>
      <w:pPr>
        <w:pStyle w:val="P37"/>
      </w:pPr>
      <w:r>
        <w:t>References</w:t>
      </w:r>
    </w:p>
    <w:p>
      <w:pPr>
        <w:pStyle w:val="P38"/>
      </w:pPr>
      <w:r>
        <w:t>Canadian General Standards Board (CGSB):</w:t>
      </w:r>
    </w:p>
    <w:p>
      <w:pPr>
        <w:pStyle w:val="P39"/>
      </w:pPr>
      <w:r>
        <w:t>CAN/CGSB 24.3-92 - Identification of Piping Systems.</w:t>
      </w:r>
    </w:p>
    <w:p>
      <w:pPr>
        <w:pStyle w:val="P39"/>
      </w:pPr>
      <w:r>
        <w:t>CAN/CGSB 1-GP-12C-90, Standard Paint Colors: Chromaticities And Luminous Reflectances</w:t>
      </w:r>
    </w:p>
    <w:p>
      <w:pPr>
        <w:pStyle w:val="P38"/>
      </w:pPr>
      <w:r>
        <w:t xml:space="preserve">WHMIS - 2015 </w:t>
      </w:r>
    </w:p>
    <w:p>
      <w:pPr>
        <w:pStyle w:val="P38"/>
      </w:pPr>
      <w:r>
        <w:t>ASME A13.1-2015, Scheme for the Identification of Piping Systems</w:t>
      </w:r>
    </w:p>
    <w:p>
      <w:pPr>
        <w:pStyle w:val="P38"/>
      </w:pPr>
      <w:r>
        <w:t>MECP Standard for Pipe Identification in Water and Wastewater Plants in Ontario, August 1989</w:t>
      </w:r>
    </w:p>
    <w:p>
      <w:pPr>
        <w:pStyle w:val="P38"/>
      </w:pPr>
      <w:r>
        <w:t>Section 35 - Development and Maintenance of Asset Inventory and Tagging Guideline</w:t>
      </w:r>
    </w:p>
    <w:p>
      <w:pPr>
        <w:pStyle w:val="P38"/>
      </w:pPr>
      <w:r>
        <w:t>Design Guidelines for Drinking-Water Systems 2008</w:t>
      </w:r>
    </w:p>
    <w:p>
      <w:pPr>
        <w:pStyle w:val="P38"/>
      </w:pPr>
      <w:r>
        <w:t>Design Guidelines for Sewage Works 2008</w:t>
      </w:r>
    </w:p>
    <w:p>
      <w:pPr>
        <w:pStyle w:val="P37"/>
      </w:pPr>
      <w:r>
        <w:br w:type="page"/>
        <w:t>Measurement and Payment</w:t>
      </w:r>
    </w:p>
    <w:p>
      <w:pPr>
        <w:pStyle w:val="P38"/>
        <w:numPr>
          <w:ilvl w:val="2"/>
          <w:numId w:val="34"/>
        </w:numPr>
        <w:spacing w:after="120"/>
        <w:contextualSpacing w:val="0"/>
      </w:pPr>
      <w:r>
        <w:t>The lump sum price tendered shall include all labour, equipment, and materials necessary to fabricate, supply and install piping identification for all work completed under the Contract, to the satisfaction of the Consultant.</w:t>
      </w:r>
    </w:p>
    <w:p>
      <w:pPr>
        <w:pStyle w:val="P38"/>
        <w:numPr>
          <w:ilvl w:val="2"/>
          <w:numId w:val="34"/>
        </w:numPr>
        <w:spacing w:after="120"/>
        <w:contextualSpacing w:val="0"/>
      </w:pPr>
      <w:r>
        <w:t>The Region may withhold a portion of payment until piping identification has been reviewed, approved and installed.</w:t>
      </w:r>
    </w:p>
    <w:p>
      <w:pPr>
        <w:pStyle w:val="P38"/>
        <w:numPr>
          <w:ilvl w:val="2"/>
          <w:numId w:val="34"/>
        </w:numPr>
        <w:rPr>
          <w:highlight w:val="yellow"/>
        </w:rPr>
      </w:pPr>
      <w:r>
        <w:rPr>
          <w:highlight w:val="yellow"/>
        </w:rPr>
        <w:t>All costs associated with the work of this Section shall be included in the price(s) for Item No(s). ___ in Schedule ‘A’ of the Bid Form.</w:t>
      </w:r>
    </w:p>
    <w:p>
      <w:pPr>
        <w:pStyle w:val="P37"/>
      </w:pPr>
      <w:r>
        <w:t>Submittals</w:t>
      </w:r>
    </w:p>
    <w:p>
      <w:pPr>
        <w:pStyle w:val="P38"/>
      </w:pPr>
      <w:r>
        <w:t>The following documents and drawings shall be submitted by the Contractor for approval prior to fabrication:</w:t>
      </w:r>
    </w:p>
    <w:p>
      <w:pPr>
        <w:pStyle w:val="P39"/>
      </w:pPr>
      <w:r>
        <w:t xml:space="preserve">Pipe labelling schedule in accordance with Section </w:t>
      </w:r>
      <w:r>
        <w:fldChar w:fldCharType="begin"/>
      </w:r>
      <w:r>
        <w:instrText xml:space="preserve"> REF _Ref3369834 \r \h </w:instrText>
      </w:r>
      <w:r>
        <w:fldChar w:fldCharType="separate"/>
      </w:r>
      <w:r>
        <w:t>3.2</w:t>
      </w:r>
      <w:r>
        <w:fldChar w:fldCharType="end"/>
      </w:r>
      <w:r>
        <w:t xml:space="preserve"> of this Specification.</w:t>
      </w:r>
    </w:p>
    <w:p>
      <w:pPr>
        <w:pStyle w:val="P39"/>
      </w:pPr>
      <w:r>
        <w:t>Product data: Provide manufacturers catalog literature for each product required.</w:t>
      </w:r>
    </w:p>
    <w:p>
      <w:pPr>
        <w:pStyle w:val="P39"/>
      </w:pPr>
      <w:r>
        <w:t>Manufacturer's instructions: Indicate special procedures and installation requirements for each product required.</w:t>
      </w:r>
    </w:p>
    <w:p>
      <w:pPr>
        <w:pStyle w:val="P36"/>
      </w:pPr>
      <w:r>
        <w:t>PRODUCTS</w:t>
      </w:r>
    </w:p>
    <w:p>
      <w:pPr>
        <w:pStyle w:val="P37"/>
      </w:pPr>
      <w:r>
        <w:t>Identification Systems</w:t>
      </w:r>
    </w:p>
    <w:p>
      <w:pPr>
        <w:pStyle w:val="P38"/>
      </w:pPr>
      <w:r>
        <w:t>For existing facilities, consultation with the Consultant and the Region is required to determine what identification system will apply to new items of Work.</w:t>
      </w:r>
    </w:p>
    <w:p>
      <w:pPr>
        <w:pStyle w:val="P38"/>
      </w:pPr>
      <w:r>
        <w:t>For new facilities, use the identification system specified in this Section.</w:t>
      </w:r>
    </w:p>
    <w:p>
      <w:pPr>
        <w:pStyle w:val="P38"/>
      </w:pPr>
      <w:r>
        <w:t>Before starting Work, obtain written approval of the identification system to be used from the Consultant.</w:t>
      </w:r>
    </w:p>
    <w:p>
      <w:pPr>
        <w:pStyle w:val="P37"/>
      </w:pPr>
      <w:r>
        <w:t>General Requirements</w:t>
      </w:r>
    </w:p>
    <w:p>
      <w:pPr>
        <w:pStyle w:val="P38"/>
      </w:pPr>
      <w:r>
        <w:t xml:space="preserve">The identification of material contained in a piping system shall be by the use of paint and/or labels. Painting shall be in accordance with </w:t>
      </w:r>
      <w:r>
        <w:rPr>
          <w:highlight w:val="yellow"/>
        </w:rPr>
        <w:t>Section 09900 – Painting and Protective Coatings</w:t>
      </w:r>
      <w:r>
        <w:t>.</w:t>
      </w:r>
    </w:p>
    <w:p>
      <w:pPr>
        <w:pStyle w:val="P38"/>
      </w:pPr>
      <w:r>
        <w:t>The markings applied to piping systems shall conform to all relevant Acts and Regulations.</w:t>
      </w:r>
    </w:p>
    <w:p>
      <w:pPr>
        <w:pStyle w:val="P37"/>
      </w:pPr>
      <w:bookmarkStart w:id="0" w:name="_Ref5708701"/>
      <w:r>
        <w:t>Label Materials</w:t>
      </w:r>
      <w:bookmarkEnd w:id="0"/>
    </w:p>
    <w:p>
      <w:pPr>
        <w:pStyle w:val="P38"/>
      </w:pPr>
      <w:r>
        <w:t xml:space="preserve">Piping and tubing 19mm and smaller:  waterproof and heat-resistant pressure sensitive plastic marker tags.</w:t>
      </w:r>
    </w:p>
    <w:p>
      <w:pPr>
        <w:pStyle w:val="P38"/>
      </w:pPr>
      <w:r>
        <w:t xml:space="preserve">All other piping: pressure sensitive vinyl/polyester with protective undercoating, waterproof contact adhesive undercoating, suitable for continuous operating temperatures of 150°C and intermittent temperatures of 200°C. </w:t>
      </w:r>
    </w:p>
    <w:p>
      <w:pPr>
        <w:pStyle w:val="P38"/>
      </w:pPr>
      <w:r>
        <w:t xml:space="preserve">Labels shall be designed to suit indoor and outdoor use, with built in ultraviolet inhibitors. </w:t>
      </w:r>
    </w:p>
    <w:p>
      <w:pPr>
        <w:pStyle w:val="P38"/>
      </w:pPr>
      <w:r>
        <w:t>The identification marking material shall have good weathering, moisture and wrinkling resistance and adhesion properties.</w:t>
      </w:r>
    </w:p>
    <w:p>
      <w:pPr>
        <w:pStyle w:val="P37"/>
      </w:pPr>
      <w:r>
        <w:t>Classification by Content</w:t>
      </w:r>
    </w:p>
    <w:p>
      <w:pPr>
        <w:pStyle w:val="P38"/>
      </w:pPr>
      <w:r>
        <w:t xml:space="preserve">For Hazardous Products which are defined by WHMIS -2015, supply and install WHMIS hazard symbols as required by the Ministry of Labour. </w:t>
      </w:r>
    </w:p>
    <w:p>
      <w:pPr>
        <w:pStyle w:val="P38"/>
      </w:pPr>
      <w:r>
        <w:t xml:space="preserve">Piping shall be identified according to the groupings below, further defined in Section </w:t>
      </w:r>
      <w:r>
        <w:fldChar w:fldCharType="begin"/>
      </w:r>
      <w:r>
        <w:instrText xml:space="preserve"> REF _Ref26277556 \r \h </w:instrText>
      </w:r>
      <w:r>
        <w:fldChar w:fldCharType="separate"/>
      </w:r>
      <w:r>
        <w:t>3.5</w:t>
      </w:r>
      <w:r>
        <w:fldChar w:fldCharType="end"/>
      </w:r>
      <w:r>
        <w:t xml:space="preserve"> of this Specification.</w:t>
      </w:r>
    </w:p>
    <w:p>
      <w:pPr>
        <w:pStyle w:val="P39"/>
      </w:pPr>
      <w:r>
        <w:rPr>
          <w:b w:val="1"/>
        </w:rPr>
        <w:t xml:space="preserve">Group #1 </w:t>
      </w:r>
      <w:r>
        <w:rPr>
          <w:b w:val="1"/>
        </w:rPr>
        <w:t>–</w:t>
      </w:r>
      <w:r>
        <w:rPr>
          <w:b w:val="1"/>
        </w:rPr>
        <w:t xml:space="preserve"> </w:t>
      </w:r>
      <w:r>
        <w:rPr>
          <w:b w:val="1"/>
        </w:rPr>
        <w:t>Flammable</w:t>
      </w:r>
      <w:r>
        <w:rPr>
          <w:b w:val="1"/>
        </w:rPr>
        <w:t xml:space="preserve"> Materials</w:t>
      </w:r>
      <w:r>
        <w:t>: For piping systems containing flammable gases or liquids - gasoline, fuel oil, digester gas, acetylene, propane, etc.</w:t>
      </w:r>
    </w:p>
    <w:p>
      <w:pPr>
        <w:pStyle w:val="P39"/>
      </w:pPr>
      <w:r>
        <w:rPr>
          <w:b w:val="1"/>
        </w:rPr>
        <w:t xml:space="preserve">Group #2 </w:t>
      </w:r>
      <w:r>
        <w:rPr>
          <w:b w:val="1"/>
        </w:rPr>
        <w:t>–</w:t>
      </w:r>
      <w:r>
        <w:rPr>
          <w:b w:val="1"/>
        </w:rPr>
        <w:t xml:space="preserve"> </w:t>
      </w:r>
      <w:r>
        <w:rPr>
          <w:b w:val="1"/>
        </w:rPr>
        <w:t>Fire</w:t>
      </w:r>
      <w:r>
        <w:rPr>
          <w:b w:val="1"/>
        </w:rPr>
        <w:t xml:space="preserve"> F</w:t>
      </w:r>
      <w:r>
        <w:rPr>
          <w:b w:val="1"/>
        </w:rPr>
        <w:t>ighting</w:t>
      </w:r>
      <w:r>
        <w:rPr>
          <w:b w:val="1"/>
        </w:rPr>
        <w:t xml:space="preserve"> (Protection)</w:t>
      </w:r>
      <w:r>
        <w:t>: For piping systems containing firefighting substances - water, carbon dioxide, etc.</w:t>
      </w:r>
    </w:p>
    <w:p>
      <w:pPr>
        <w:pStyle w:val="P39"/>
      </w:pPr>
      <w:r>
        <w:rPr>
          <w:b w:val="1"/>
        </w:rPr>
        <w:t xml:space="preserve">Group #3 - </w:t>
      </w:r>
      <w:r>
        <w:rPr>
          <w:b w:val="1"/>
        </w:rPr>
        <w:t>Dangerous Substances</w:t>
      </w:r>
      <w:r>
        <w:t>: For other piping systems containing dangerous (highly hazardous) substances - chlorine gas, hydrofluosilicic acid, other concentrated acids or caustics, etc. - i.e. - strongly corrosive, strongly toxic, temperature greater than 80°C (175°F) including steam, pressure greater than 700 kPa (100 psi).</w:t>
      </w:r>
    </w:p>
    <w:p>
      <w:pPr>
        <w:pStyle w:val="P39"/>
      </w:pPr>
      <w:r>
        <w:rPr>
          <w:b w:val="1"/>
        </w:rPr>
        <w:t xml:space="preserve">Group #4 - </w:t>
      </w:r>
      <w:r>
        <w:rPr>
          <w:b w:val="1"/>
        </w:rPr>
        <w:t>Other Chemical</w:t>
      </w:r>
      <w:r>
        <w:rPr>
          <w:b w:val="1"/>
        </w:rPr>
        <w:t xml:space="preserve"> Substance</w:t>
      </w:r>
      <w:r>
        <w:rPr>
          <w:b w:val="1"/>
        </w:rPr>
        <w:t>s</w:t>
      </w:r>
      <w:r>
        <w:t>: For other piping systems containing chemical substances (not highly dangerous) - chlorine solutions, sodium hypochlorite, alum, polyelectrolytes, lime solutions, fluoride solutions, etc. - i.e. - mildly corrosive, mildly toxic, temperature less than 80°C (175°F), pressure less than 700 kPa (100 psi).</w:t>
      </w:r>
    </w:p>
    <w:p>
      <w:pPr>
        <w:pStyle w:val="P39"/>
      </w:pPr>
      <w:r>
        <w:rPr>
          <w:b w:val="1"/>
        </w:rPr>
        <w:t>Group #5 - Process and Drainage</w:t>
      </w:r>
      <w:r>
        <w:t xml:space="preserve">: For process and drainage piping systems, one colour for water being protected, one for sludges and one for other water and drainage systems. Within each group, there are colour gradations to reflect the degree of contamination. </w:t>
      </w:r>
    </w:p>
    <w:p>
      <w:pPr>
        <w:pStyle w:val="P37"/>
      </w:pPr>
      <w:r>
        <w:t xml:space="preserve">Label Background Colour </w:t>
      </w:r>
    </w:p>
    <w:p>
      <w:pPr>
        <w:pStyle w:val="P38"/>
      </w:pPr>
      <w:r>
        <w:t xml:space="preserve">Materials contained in a piping system shall be identified by markings of background colour applied on the piping system. The minimum width of the labels shall be 25mm. </w:t>
      </w:r>
    </w:p>
    <w:p>
      <w:pPr>
        <w:pStyle w:val="P38"/>
      </w:pPr>
      <w:r>
        <w:t>The extent of background colour marking shall be long enough to accommodate the full length of the legend.</w:t>
      </w:r>
    </w:p>
    <w:p>
      <w:pPr>
        <w:pStyle w:val="P38"/>
      </w:pPr>
      <w:r>
        <w:t xml:space="preserve">The colours used to identify materials contained in a piping system shall be in accordance with </w:t>
      </w:r>
      <w:r>
        <w:fldChar w:fldCharType="begin"/>
      </w:r>
      <w:r>
        <w:instrText xml:space="preserve"> REF _Ref25913058 \h </w:instrText>
      </w:r>
      <w:r>
        <w:fldChar w:fldCharType="separate"/>
      </w:r>
      <w:r>
        <w:t>Table 2-2</w:t>
      </w:r>
      <w:r>
        <w:fldChar w:fldCharType="end"/>
      </w:r>
      <w:r>
        <w:t>.</w:t>
      </w:r>
      <w:r>
        <w:fldChar w:fldCharType="begin"/>
      </w:r>
      <w:r>
        <w:rPr>
          <w:highlight w:val="yellow"/>
        </w:rPr>
        <w:instrText xml:space="preserve"> REF _Ref519072815 \h  \* MERGEFORMAT </w:instrText>
      </w:r>
      <w:r>
        <w:rPr>
          <w:highlight w:val="yellow"/>
        </w:rPr>
        <w:fldChar w:fldCharType="separate"/>
      </w:r>
      <w:r>
        <w:rPr>
          <w:highlight w:val="yellow"/>
        </w:rPr>
        <w:fldChar w:fldCharType="end"/>
      </w:r>
    </w:p>
    <w:p>
      <w:pPr>
        <w:pStyle w:val="P37"/>
      </w:pPr>
      <w:r>
        <w:t>Label Legend</w:t>
      </w:r>
    </w:p>
    <w:p>
      <w:pPr>
        <w:pStyle w:val="P38"/>
      </w:pPr>
      <w:r>
        <w:t>Material contained in a piping system shall be identified by a legend made of clearly legible letters (block capitals) and/or numbers, giving the name or identifier of the material</w:t>
      </w:r>
      <w:r>
        <w:fldChar w:fldCharType="begin"/>
      </w:r>
      <w:r>
        <w:rPr>
          <w:highlight w:val="yellow"/>
        </w:rPr>
        <w:instrText xml:space="preserve"> REF _Ref519072815 \h  \* MERGEFORMAT </w:instrText>
      </w:r>
      <w:r>
        <w:rPr>
          <w:highlight w:val="yellow"/>
        </w:rPr>
        <w:fldChar w:fldCharType="separate"/>
      </w:r>
      <w:r>
        <w:rPr>
          <w:highlight w:val="yellow"/>
        </w:rPr>
        <w:fldChar w:fldCharType="end"/>
      </w:r>
      <w:r>
        <w:t>. The legend shall be placed on the background colour marking and shall be in black or white to contrast with the background colour.</w:t>
      </w:r>
    </w:p>
    <w:p>
      <w:pPr>
        <w:pStyle w:val="P38"/>
      </w:pPr>
      <w:r>
        <w:t>For any material, if applicable, the words “Liquid” or “Gas” may be included as part of the legend.</w:t>
      </w:r>
    </w:p>
    <w:p>
      <w:pPr>
        <w:pStyle w:val="P38"/>
      </w:pPr>
      <w:r>
        <w:t xml:space="preserve">The minimum height of the legend shall be 13mm. For identification of small pipes (less than 19mm diameter) the use of tags or wall markings is recommended. See </w:t>
      </w:r>
      <w:r>
        <w:fldChar w:fldCharType="begin"/>
      </w:r>
      <w:r>
        <w:instrText xml:space="preserve"> REF _Ref5707825 \h </w:instrText>
      </w:r>
      <w:r>
        <w:fldChar w:fldCharType="separate"/>
      </w:r>
      <w:r>
        <w:t>Table 2-1</w:t>
      </w:r>
      <w:r>
        <w:fldChar w:fldCharType="end"/>
      </w:r>
      <w:r>
        <w:t xml:space="preserve"> </w:t>
      </w:r>
      <w:r>
        <w:fldChar w:fldCharType="begin"/>
      </w:r>
      <w:r>
        <w:instrText xml:space="preserve"> REF _Ref519155068 \h </w:instrText>
      </w:r>
      <w:r>
        <w:fldChar w:fldCharType="separate"/>
      </w:r>
      <w:r>
        <w:fldChar w:fldCharType="end"/>
      </w:r>
      <w:r>
        <w:t xml:space="preserve"> for further height recommendations.</w:t>
      </w:r>
    </w:p>
    <w:p>
      <w:r>
        <w:t xml:space="preserve"> </w:t>
      </w:r>
    </w:p>
    <w:p>
      <w:pPr>
        <w:pStyle w:val="P32"/>
        <w:jc w:val="center"/>
      </w:pPr>
      <w:bookmarkStart w:id="1" w:name="_Ref5707825"/>
      <w:r>
        <w:t xml:space="preserve">Table </w:t>
      </w:r>
      <w:r>
        <w:fldChar w:fldCharType="begin"/>
      </w:r>
      <w:r>
        <w:instrText xml:space="preserve"> STYLEREF 1 \s </w:instrText>
      </w:r>
      <w:r>
        <w:fldChar w:fldCharType="separate"/>
      </w:r>
      <w:r>
        <w:t>2</w:t>
      </w:r>
      <w:r>
        <w:fldChar w:fldCharType="end"/>
      </w:r>
      <w:r>
        <w:t>-</w:t>
      </w:r>
      <w:r>
        <w:fldChar w:fldCharType="begin"/>
      </w:r>
      <w:r>
        <w:instrText xml:space="preserve"> SEQ Table \* ARABIC \s 1 </w:instrText>
      </w:r>
      <w:r>
        <w:fldChar w:fldCharType="separate"/>
      </w:r>
      <w:r>
        <w:t>1</w:t>
      </w:r>
      <w:r>
        <w:fldChar w:fldCharType="end"/>
      </w:r>
      <w:bookmarkEnd w:id="1"/>
      <w:r>
        <w:t>: Height of Legend Letters and Numbers</w:t>
      </w:r>
    </w:p>
    <w:tbl>
      <w:tblPr>
        <w:tblStyle w:val="T2"/>
        <w:tblW w:w="0" w:type="auto"/>
        <w:jc w:val="center"/>
        <w:tblInd w:w="709"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729" w:type="dxa"/>
          </w:tcPr>
          <w:p>
            <w:pPr>
              <w:pStyle w:val="P38"/>
              <w:numPr>
                <w:ilvl w:val="2"/>
                <w:numId w:val="0"/>
              </w:numPr>
              <w:tabs>
                <w:tab w:val="left" w:pos="1418" w:leader="none"/>
              </w:tabs>
              <w:rPr>
                <w:b w:val="1"/>
              </w:rPr>
            </w:pPr>
            <w:r>
              <w:rPr>
                <w:b w:val="1"/>
              </w:rPr>
              <w:t>Outside Diameter of Pipe or Covering (mm)</w:t>
            </w:r>
          </w:p>
        </w:tc>
        <w:tc>
          <w:tcPr>
            <w:tcW w:w="2070" w:type="dxa"/>
          </w:tcPr>
          <w:p>
            <w:pPr>
              <w:pStyle w:val="P38"/>
              <w:numPr>
                <w:ilvl w:val="2"/>
                <w:numId w:val="0"/>
              </w:numPr>
              <w:tabs>
                <w:tab w:val="left" w:pos="1418" w:leader="none"/>
              </w:tabs>
              <w:rPr>
                <w:b w:val="1"/>
              </w:rPr>
            </w:pPr>
            <w:r>
              <w:rPr>
                <w:b w:val="1"/>
              </w:rPr>
              <w:t>Length of Colour F</w:t>
            </w:r>
            <w:r>
              <w:rPr>
                <w:b w:val="1"/>
              </w:rPr>
              <w:t>ield, mm</w:t>
            </w:r>
          </w:p>
        </w:tc>
        <w:tc>
          <w:tcPr>
            <w:tcW w:w="2236" w:type="dxa"/>
          </w:tcPr>
          <w:p>
            <w:pPr>
              <w:pStyle w:val="P38"/>
              <w:numPr>
                <w:ilvl w:val="2"/>
                <w:numId w:val="0"/>
              </w:numPr>
              <w:tabs>
                <w:tab w:val="left" w:pos="1418" w:leader="none"/>
              </w:tabs>
              <w:rPr>
                <w:b w:val="1"/>
              </w:rPr>
            </w:pPr>
            <w:r>
              <w:rPr>
                <w:b w:val="1"/>
              </w:rPr>
              <w:t>H</w:t>
            </w:r>
            <w:r>
              <w:rPr>
                <w:b w:val="1"/>
              </w:rPr>
              <w:t>eight of Letters and Numbers, mm</w:t>
            </w:r>
          </w:p>
        </w:tc>
      </w:tr>
      <w:tr>
        <w:tc>
          <w:tcPr>
            <w:tcW w:w="2729" w:type="dxa"/>
          </w:tcPr>
          <w:p>
            <w:pPr>
              <w:pStyle w:val="P38"/>
              <w:numPr>
                <w:ilvl w:val="2"/>
                <w:numId w:val="0"/>
              </w:numPr>
              <w:tabs>
                <w:tab w:val="left" w:pos="1418" w:leader="none"/>
              </w:tabs>
            </w:pPr>
            <w:r>
              <w:t>19 to 32</w:t>
            </w:r>
          </w:p>
        </w:tc>
        <w:tc>
          <w:tcPr>
            <w:tcW w:w="2070" w:type="dxa"/>
          </w:tcPr>
          <w:p>
            <w:pPr>
              <w:pStyle w:val="P38"/>
              <w:numPr>
                <w:ilvl w:val="2"/>
                <w:numId w:val="0"/>
              </w:numPr>
              <w:tabs>
                <w:tab w:val="left" w:pos="1418" w:leader="none"/>
              </w:tabs>
            </w:pPr>
            <w:r>
              <w:t>200</w:t>
            </w:r>
          </w:p>
        </w:tc>
        <w:tc>
          <w:tcPr>
            <w:tcW w:w="2236" w:type="dxa"/>
          </w:tcPr>
          <w:p>
            <w:pPr>
              <w:pStyle w:val="P38"/>
              <w:numPr>
                <w:ilvl w:val="2"/>
                <w:numId w:val="0"/>
              </w:numPr>
              <w:tabs>
                <w:tab w:val="left" w:pos="1418" w:leader="none"/>
              </w:tabs>
            </w:pPr>
            <w:r>
              <w:t>13</w:t>
            </w:r>
          </w:p>
        </w:tc>
      </w:tr>
      <w:tr>
        <w:tc>
          <w:tcPr>
            <w:tcW w:w="2729" w:type="dxa"/>
          </w:tcPr>
          <w:p>
            <w:pPr>
              <w:pStyle w:val="P38"/>
              <w:numPr>
                <w:ilvl w:val="2"/>
                <w:numId w:val="0"/>
              </w:numPr>
              <w:tabs>
                <w:tab w:val="left" w:pos="1418" w:leader="none"/>
              </w:tabs>
            </w:pPr>
            <w:r>
              <w:t>38 to 51</w:t>
            </w:r>
          </w:p>
        </w:tc>
        <w:tc>
          <w:tcPr>
            <w:tcW w:w="2070" w:type="dxa"/>
          </w:tcPr>
          <w:p>
            <w:pPr>
              <w:pStyle w:val="P38"/>
              <w:numPr>
                <w:ilvl w:val="2"/>
                <w:numId w:val="0"/>
              </w:numPr>
              <w:tabs>
                <w:tab w:val="left" w:pos="1418" w:leader="none"/>
              </w:tabs>
            </w:pPr>
            <w:r>
              <w:t>200</w:t>
            </w:r>
          </w:p>
        </w:tc>
        <w:tc>
          <w:tcPr>
            <w:tcW w:w="2236" w:type="dxa"/>
          </w:tcPr>
          <w:p>
            <w:pPr>
              <w:pStyle w:val="P38"/>
              <w:numPr>
                <w:ilvl w:val="2"/>
                <w:numId w:val="0"/>
              </w:numPr>
              <w:tabs>
                <w:tab w:val="left" w:pos="1418" w:leader="none"/>
              </w:tabs>
            </w:pPr>
            <w:r>
              <w:t>19</w:t>
            </w:r>
          </w:p>
        </w:tc>
      </w:tr>
      <w:tr>
        <w:tc>
          <w:tcPr>
            <w:tcW w:w="2729" w:type="dxa"/>
          </w:tcPr>
          <w:p>
            <w:pPr>
              <w:pStyle w:val="P38"/>
              <w:numPr>
                <w:ilvl w:val="2"/>
                <w:numId w:val="0"/>
              </w:numPr>
              <w:tabs>
                <w:tab w:val="left" w:pos="1418" w:leader="none"/>
              </w:tabs>
            </w:pPr>
            <w:r>
              <w:t>64 to 150</w:t>
            </w:r>
          </w:p>
        </w:tc>
        <w:tc>
          <w:tcPr>
            <w:tcW w:w="2070" w:type="dxa"/>
          </w:tcPr>
          <w:p>
            <w:pPr>
              <w:pStyle w:val="P38"/>
              <w:numPr>
                <w:ilvl w:val="2"/>
                <w:numId w:val="0"/>
              </w:numPr>
              <w:tabs>
                <w:tab w:val="left" w:pos="1418" w:leader="none"/>
              </w:tabs>
            </w:pPr>
            <w:r>
              <w:t>300</w:t>
            </w:r>
          </w:p>
        </w:tc>
        <w:tc>
          <w:tcPr>
            <w:tcW w:w="2236" w:type="dxa"/>
          </w:tcPr>
          <w:p>
            <w:pPr>
              <w:pStyle w:val="P38"/>
              <w:numPr>
                <w:ilvl w:val="2"/>
                <w:numId w:val="0"/>
              </w:numPr>
              <w:tabs>
                <w:tab w:val="left" w:pos="1418" w:leader="none"/>
              </w:tabs>
            </w:pPr>
            <w:r>
              <w:t>32</w:t>
            </w:r>
          </w:p>
        </w:tc>
      </w:tr>
      <w:tr>
        <w:tc>
          <w:tcPr>
            <w:tcW w:w="2729" w:type="dxa"/>
          </w:tcPr>
          <w:p>
            <w:pPr>
              <w:pStyle w:val="P38"/>
              <w:numPr>
                <w:ilvl w:val="2"/>
                <w:numId w:val="0"/>
              </w:numPr>
              <w:tabs>
                <w:tab w:val="left" w:pos="1418" w:leader="none"/>
              </w:tabs>
            </w:pPr>
            <w:r>
              <w:t>200 to 250</w:t>
            </w:r>
          </w:p>
        </w:tc>
        <w:tc>
          <w:tcPr>
            <w:tcW w:w="2070" w:type="dxa"/>
          </w:tcPr>
          <w:p>
            <w:pPr>
              <w:pStyle w:val="P38"/>
              <w:numPr>
                <w:ilvl w:val="2"/>
                <w:numId w:val="0"/>
              </w:numPr>
              <w:tabs>
                <w:tab w:val="left" w:pos="1418" w:leader="none"/>
              </w:tabs>
            </w:pPr>
            <w:r>
              <w:t>600</w:t>
            </w:r>
          </w:p>
        </w:tc>
        <w:tc>
          <w:tcPr>
            <w:tcW w:w="2236" w:type="dxa"/>
          </w:tcPr>
          <w:p>
            <w:pPr>
              <w:pStyle w:val="P38"/>
              <w:numPr>
                <w:ilvl w:val="2"/>
                <w:numId w:val="0"/>
              </w:numPr>
              <w:tabs>
                <w:tab w:val="left" w:pos="1418" w:leader="none"/>
              </w:tabs>
            </w:pPr>
            <w:r>
              <w:t>64</w:t>
            </w:r>
          </w:p>
        </w:tc>
      </w:tr>
      <w:tr>
        <w:tc>
          <w:tcPr>
            <w:tcW w:w="2729" w:type="dxa"/>
          </w:tcPr>
          <w:p>
            <w:pPr>
              <w:pStyle w:val="P38"/>
              <w:numPr>
                <w:ilvl w:val="2"/>
                <w:numId w:val="0"/>
              </w:numPr>
              <w:tabs>
                <w:tab w:val="left" w:pos="1418" w:leader="none"/>
              </w:tabs>
              <w:rPr>
                <w:b w:val="1"/>
              </w:rPr>
            </w:pPr>
            <w:r>
              <w:t>Over 250</w:t>
            </w:r>
          </w:p>
        </w:tc>
        <w:tc>
          <w:tcPr>
            <w:tcW w:w="2070" w:type="dxa"/>
          </w:tcPr>
          <w:p>
            <w:pPr>
              <w:pStyle w:val="P38"/>
              <w:numPr>
                <w:ilvl w:val="2"/>
                <w:numId w:val="0"/>
              </w:numPr>
              <w:tabs>
                <w:tab w:val="left" w:pos="1418" w:leader="none"/>
              </w:tabs>
            </w:pPr>
            <w:r>
              <w:t>800</w:t>
            </w:r>
          </w:p>
        </w:tc>
        <w:tc>
          <w:tcPr>
            <w:tcW w:w="2236" w:type="dxa"/>
          </w:tcPr>
          <w:p>
            <w:pPr>
              <w:pStyle w:val="P38"/>
              <w:numPr>
                <w:ilvl w:val="2"/>
                <w:numId w:val="0"/>
              </w:numPr>
              <w:tabs>
                <w:tab w:val="left" w:pos="1418" w:leader="none"/>
              </w:tabs>
            </w:pPr>
            <w:r>
              <w:t>89</w:t>
            </w:r>
          </w:p>
        </w:tc>
      </w:tr>
      <w:tr>
        <w:tc>
          <w:tcPr>
            <w:tcW w:w="2729" w:type="dxa"/>
          </w:tcPr>
          <w:p>
            <w:pPr>
              <w:pStyle w:val="P38"/>
              <w:numPr>
                <w:ilvl w:val="2"/>
                <w:numId w:val="0"/>
              </w:numPr>
              <w:tabs>
                <w:tab w:val="left" w:pos="1418" w:leader="none"/>
              </w:tabs>
            </w:pPr>
            <w:r>
              <w:t>Ducts</w:t>
            </w:r>
          </w:p>
        </w:tc>
        <w:tc>
          <w:tcPr>
            <w:tcW w:w="2070" w:type="dxa"/>
          </w:tcPr>
          <w:p>
            <w:pPr>
              <w:pStyle w:val="P38"/>
              <w:numPr>
                <w:ilvl w:val="2"/>
                <w:numId w:val="0"/>
              </w:numPr>
              <w:tabs>
                <w:tab w:val="left" w:pos="1418" w:leader="none"/>
              </w:tabs>
            </w:pPr>
            <w:r>
              <w:t>800</w:t>
            </w:r>
          </w:p>
        </w:tc>
        <w:tc>
          <w:tcPr>
            <w:tcW w:w="2236" w:type="dxa"/>
          </w:tcPr>
          <w:p>
            <w:pPr>
              <w:pStyle w:val="P38"/>
              <w:numPr>
                <w:ilvl w:val="2"/>
                <w:numId w:val="0"/>
              </w:numPr>
              <w:tabs>
                <w:tab w:val="left" w:pos="1418" w:leader="none"/>
              </w:tabs>
            </w:pPr>
            <w:r>
              <w:t>89</w:t>
            </w:r>
          </w:p>
        </w:tc>
      </w:tr>
    </w:tbl>
    <w:p>
      <w:pPr>
        <w:pStyle w:val="P37"/>
      </w:pPr>
      <w:r>
        <w:t>Arrows Showing Direction of Flow</w:t>
      </w:r>
    </w:p>
    <w:p>
      <w:pPr>
        <w:pStyle w:val="P38"/>
      </w:pPr>
      <w:r>
        <w:t xml:space="preserve">Arrows shall be used to indicate the direction of flow, double arrows being used for reversible flow. The arrows shall be large enough to be readily distinguishable and shall be the same colour as the legend. </w:t>
      </w:r>
    </w:p>
    <w:p>
      <w:pPr>
        <w:pStyle w:val="P38"/>
      </w:pPr>
      <w:r>
        <w:t>The arrow shall be placed on the same background colour as the legend marking and shall be in black or white to contrast with the background colour.</w:t>
      </w:r>
    </w:p>
    <w:p>
      <w:pPr>
        <w:pStyle w:val="P38"/>
      </w:pPr>
      <w:r>
        <w:t>If the outside diameter of the pipe or insulation is less than 75mm, the arrow shall be 100mm long x 50mm high.</w:t>
      </w:r>
    </w:p>
    <w:p>
      <w:pPr>
        <w:pStyle w:val="P38"/>
      </w:pPr>
      <w:r>
        <w:t>If the outside diameter of pipe or insulation is 75mm and greater, the arrow shall be 150mm long x 50mm high.</w:t>
      </w:r>
    </w:p>
    <w:p>
      <w:pPr>
        <w:pStyle w:val="P38"/>
      </w:pPr>
      <w:r>
        <w:t>The legend and arrows shall be on separate labels.</w:t>
      </w:r>
    </w:p>
    <w:p>
      <w:pPr>
        <w:pStyle w:val="P37"/>
      </w:pPr>
      <w:r>
        <w:t xml:space="preserve">Colours </w:t>
      </w:r>
    </w:p>
    <w:p>
      <w:pPr>
        <w:pStyle w:val="P38"/>
      </w:pPr>
      <w:r>
        <w:t>Background, Legend, and Arrow Colours</w:t>
      </w:r>
    </w:p>
    <w:p>
      <w:pPr>
        <w:pStyle w:val="P39"/>
      </w:pPr>
      <w:r>
        <w:t>Background colour, legend colour, and arrow colour to tables Group #1 to Group #5.</w:t>
      </w:r>
    </w:p>
    <w:p>
      <w:pPr>
        <w:pStyle w:val="P39"/>
      </w:pPr>
      <w:r>
        <w:t xml:space="preserve">All colours listed are per CGSB standard 1-GP-12C:1990. A summary of the CGSB colour numbers is shown in </w:t>
      </w:r>
      <w:r>
        <w:fldChar w:fldCharType="begin"/>
      </w:r>
      <w:r>
        <w:instrText xml:space="preserve"> REF _Ref25913058 \h </w:instrText>
      </w:r>
      <w:r>
        <w:fldChar w:fldCharType="separate"/>
      </w:r>
      <w:r>
        <w:t>Table 2-2</w:t>
      </w:r>
      <w:r>
        <w:fldChar w:fldCharType="end"/>
      </w:r>
      <w:r>
        <w:fldChar w:fldCharType="begin"/>
      </w:r>
      <w:r>
        <w:rPr>
          <w:highlight w:val="yellow"/>
        </w:rPr>
        <w:instrText xml:space="preserve"> REF _Ref519088683 \h  \* MERGEFORMAT </w:instrText>
      </w:r>
      <w:r>
        <w:rPr>
          <w:highlight w:val="yellow"/>
        </w:rPr>
        <w:fldChar w:fldCharType="separate"/>
      </w:r>
      <w:r>
        <w:rPr>
          <w:highlight w:val="yellow"/>
        </w:rPr>
        <w:fldChar w:fldCharType="end"/>
      </w:r>
      <w:r>
        <w:t xml:space="preserve">. </w:t>
      </w:r>
    </w:p>
    <w:p>
      <w:pPr>
        <w:pStyle w:val="P39"/>
      </w:pPr>
      <w:r>
        <w:t>Where not listed, obtain direction from the Consultant.</w:t>
      </w:r>
    </w:p>
    <w:p>
      <w:pPr>
        <w:pStyle w:val="P32"/>
        <w:jc w:val="center"/>
      </w:pPr>
    </w:p>
    <w:p>
      <w:pPr>
        <w:pStyle w:val="P32"/>
        <w:jc w:val="center"/>
      </w:pPr>
      <w:bookmarkStart w:id="2" w:name="_Ref25913058"/>
      <w:r>
        <w:t xml:space="preserve">Table </w:t>
      </w:r>
      <w:r>
        <w:fldChar w:fldCharType="begin"/>
      </w:r>
      <w:r>
        <w:instrText xml:space="preserve"> STYLEREF 1 \s </w:instrText>
      </w:r>
      <w:r>
        <w:fldChar w:fldCharType="separate"/>
      </w:r>
      <w:r>
        <w:t>2</w:t>
      </w:r>
      <w:r>
        <w:fldChar w:fldCharType="end"/>
      </w:r>
      <w:r>
        <w:t>-</w:t>
      </w:r>
      <w:r>
        <w:fldChar w:fldCharType="begin"/>
      </w:r>
      <w:r>
        <w:instrText xml:space="preserve"> SEQ Table \* ARABIC \s 1 </w:instrText>
      </w:r>
      <w:r>
        <w:fldChar w:fldCharType="separate"/>
      </w:r>
      <w:r>
        <w:t>2</w:t>
      </w:r>
      <w:r>
        <w:fldChar w:fldCharType="end"/>
      </w:r>
      <w:bookmarkEnd w:id="2"/>
      <w:r>
        <w:t>: Colour Code Numbers for Process and Chemical Piping</w:t>
      </w:r>
    </w:p>
    <w:tbl>
      <w:tblPr>
        <w:tblStyle w:val="T2"/>
        <w:tblW w:w="7005" w:type="dxa"/>
        <w:jc w:val="center"/>
        <w:tblLayout w:type="autofit"/>
      </w:tblPr>
      <w:tblGrid/>
      <w:tr>
        <w:trPr>
          <w:wAfter w:w="0" w:type="dxa"/>
          <w:trHeight w:hRule="atLeast" w:val="288"/>
        </w:trPr>
        <w:tc>
          <w:tcPr>
            <w:tcW w:w="2380" w:type="dxa"/>
            <w:tcBorders>
              <w:top w:val="single" w:sz="4" w:space="0" w:shadow="0" w:frame="0"/>
              <w:left w:val="single" w:sz="4" w:space="0" w:shadow="0" w:frame="0"/>
              <w:bottom w:val="single" w:sz="4" w:space="0" w:shadow="0" w:frame="0"/>
              <w:right w:val="single" w:sz="4" w:space="0" w:shadow="0" w:frame="0"/>
            </w:tcBorders>
            <w:vAlign w:val="center"/>
          </w:tcPr>
          <w:p>
            <w:pPr>
              <w:jc w:val="center"/>
              <w:rPr>
                <w:b w:val="1"/>
                <w:color w:val="000000"/>
              </w:rPr>
            </w:pPr>
            <w:r>
              <w:rPr>
                <w:b w:val="1"/>
                <w:color w:val="000000"/>
              </w:rPr>
              <w:t>Colour</w:t>
            </w:r>
          </w:p>
        </w:tc>
        <w:tc>
          <w:tcPr>
            <w:tcW w:w="2300" w:type="dxa"/>
            <w:tcBorders>
              <w:top w:val="single" w:sz="4" w:space="0" w:shadow="0" w:frame="0"/>
              <w:left w:val="none" w:sz="0" w:space="0" w:shadow="0" w:frame="0"/>
              <w:bottom w:val="single" w:sz="4" w:space="0" w:shadow="0" w:frame="0"/>
              <w:right w:val="single" w:sz="4" w:space="0" w:shadow="0" w:frame="0"/>
            </w:tcBorders>
            <w:vAlign w:val="center"/>
          </w:tcPr>
          <w:p>
            <w:pPr>
              <w:jc w:val="center"/>
              <w:rPr>
                <w:b w:val="1"/>
                <w:color w:val="000000"/>
              </w:rPr>
            </w:pPr>
            <w:r>
              <w:rPr>
                <w:b w:val="1"/>
                <w:color w:val="000000"/>
              </w:rPr>
              <w:t xml:space="preserve">CGSB 1-GP-12c  number </w:t>
            </w:r>
          </w:p>
        </w:tc>
        <w:tc>
          <w:tcPr>
            <w:tcW w:w="2325" w:type="dxa"/>
            <w:tcBorders>
              <w:top w:val="single" w:sz="4" w:space="0" w:shadow="0" w:frame="0"/>
              <w:left w:val="none" w:sz="0" w:space="0" w:shadow="0" w:frame="0"/>
              <w:bottom w:val="single" w:sz="4" w:space="0" w:shadow="0" w:frame="0"/>
              <w:right w:val="single" w:sz="4" w:space="0" w:shadow="0" w:frame="0"/>
            </w:tcBorders>
            <w:vAlign w:val="center"/>
          </w:tcPr>
          <w:p>
            <w:pPr>
              <w:jc w:val="center"/>
              <w:rPr>
                <w:b w:val="1"/>
                <w:color w:val="000000"/>
              </w:rPr>
            </w:pPr>
            <w:r>
              <w:rPr>
                <w:b w:val="1"/>
                <w:color w:val="000000"/>
              </w:rPr>
              <w:t>Sherwin-Williams Colour (if available)</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Mid Grey</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501-103</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MC65 Tower Gray</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Light Grey</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501-108</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MC69 Pewter</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Dark-Blue</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502-103</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MC90 Indigo</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Light Blue</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502-106</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MC87 Grey Blue</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Mid Blue</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502-208</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MC88 Harbor Blue</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Light Green</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503-323</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 </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Dark-Brown</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504-102</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MC37 Sienna</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Mid-Brown</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504-107</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MC55 Clove</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Light Brown</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505-206</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MC10 Light Buff</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Yellow</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505-101</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Safety Yellow</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Light-Yellow</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505-103</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 </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Orange</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508-102</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Safety Orange</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Red</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509-102</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Safety Red</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Black</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512-101</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Safety Black</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White</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513-101</w:t>
            </w:r>
            <w:r>
              <w:rPr>
                <w:rFonts w:ascii="Arial" w:hAnsi="Arial"/>
                <w:sz w:val="20"/>
              </w:rPr>
              <w:t> </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Safety White</w:t>
            </w:r>
          </w:p>
        </w:tc>
      </w:tr>
    </w:tbl>
    <w:p>
      <w:pPr>
        <w:pStyle w:val="P37"/>
      </w:pPr>
      <w:r>
        <w:t>Identification of Ductwork Systems</w:t>
      </w:r>
    </w:p>
    <w:p>
      <w:pPr>
        <w:pStyle w:val="P38"/>
      </w:pPr>
      <w:r>
        <w:t xml:space="preserve">Identification for ductwork shall consist of 25mm high, painted, black, stenciled lettering to indicate the system the duct is associated with and the duct service, e.g. “SYSTEMS SUPPLY”, and stenciled directional arrows to indicate airflow.  On insulated ducts, apply the lettering to a rectangular painted white background. Manufactured adhesive backed identification conforming to the requirements above may be used in lieu of paint.</w:t>
      </w:r>
    </w:p>
    <w:p>
      <w:pPr>
        <w:pStyle w:val="P37"/>
      </w:pPr>
      <w:r>
        <w:t>Language</w:t>
      </w:r>
    </w:p>
    <w:p>
      <w:pPr>
        <w:pStyle w:val="P38"/>
      </w:pPr>
      <w:r>
        <w:t>Identification shall be in English.</w:t>
      </w:r>
    </w:p>
    <w:p/>
    <w:p>
      <w:pPr>
        <w:pStyle w:val="P36"/>
      </w:pPr>
      <w:r>
        <w:t>EXECUTION</w:t>
      </w:r>
    </w:p>
    <w:p>
      <w:pPr>
        <w:pStyle w:val="P37"/>
      </w:pPr>
      <w:r>
        <w:t>Abandoned Piping</w:t>
      </w:r>
    </w:p>
    <w:p>
      <w:pPr>
        <w:pStyle w:val="P38"/>
      </w:pPr>
      <w:r>
        <w:t>It is recommended that abandoned or unused piping be thoroughly cleaned of all material residue and stripped of previous identification. It should be re-labelled “NOT IN USE”. If unable to clean thoroughly, include the re-labelling “PREVIOUSLY CONTAINED ___________”.</w:t>
      </w:r>
    </w:p>
    <w:p>
      <w:pPr>
        <w:pStyle w:val="P37"/>
      </w:pPr>
      <w:bookmarkStart w:id="3" w:name="fn-t3-10-note"/>
      <w:bookmarkEnd w:id="3"/>
      <w:bookmarkStart w:id="4" w:name="_Ref3369834"/>
      <w:r>
        <w:t>Pipe Labeling Schedule</w:t>
      </w:r>
      <w:bookmarkEnd w:id="4"/>
    </w:p>
    <w:p>
      <w:pPr>
        <w:pStyle w:val="P38"/>
      </w:pPr>
      <w:r>
        <w:t>Refer to the supplement at the end of this Section for the pipe labeling schedule.</w:t>
      </w:r>
    </w:p>
    <w:p>
      <w:pPr>
        <w:pStyle w:val="P38"/>
      </w:pPr>
      <w:r>
        <w:t xml:space="preserve">Requirements: </w:t>
      </w:r>
    </w:p>
    <w:p>
      <w:pPr>
        <w:pStyle w:val="P39"/>
      </w:pPr>
      <w:r>
        <w:t xml:space="preserve">The pipe labeling schedule containing all pipe labeling information is required for every project, and shall be prepared using the template provided by the Region. </w:t>
      </w:r>
    </w:p>
    <w:p>
      <w:pPr>
        <w:pStyle w:val="P38"/>
      </w:pPr>
      <w:r>
        <w:t>Content</w:t>
      </w:r>
    </w:p>
    <w:p>
      <w:pPr>
        <w:pStyle w:val="P39"/>
      </w:pPr>
      <w:r>
        <w:t>All pipe identification labels shall be uniquely identified on the labeling schedule.</w:t>
      </w:r>
    </w:p>
    <w:p>
      <w:pPr>
        <w:pStyle w:val="P39"/>
      </w:pPr>
      <w:r>
        <w:t xml:space="preserve">The labeling schedule shall at a minimum include the following fields: </w:t>
      </w:r>
    </w:p>
    <w:p>
      <w:pPr>
        <w:pStyle w:val="P46"/>
      </w:pPr>
      <w:r>
        <w:t>Label Count</w:t>
      </w:r>
    </w:p>
    <w:p>
      <w:pPr>
        <w:pStyle w:val="P46"/>
      </w:pPr>
      <w:r>
        <w:t>Legend Text</w:t>
      </w:r>
    </w:p>
    <w:p>
      <w:pPr>
        <w:pStyle w:val="P46"/>
      </w:pPr>
      <w:r>
        <w:t>Service/Contents</w:t>
      </w:r>
    </w:p>
    <w:p>
      <w:pPr>
        <w:pStyle w:val="P46"/>
      </w:pPr>
      <w:r>
        <w:t>Background Colour</w:t>
      </w:r>
    </w:p>
    <w:p>
      <w:pPr>
        <w:pStyle w:val="P46"/>
      </w:pPr>
      <w:r>
        <w:t xml:space="preserve">Legend and Arrow Colour </w:t>
      </w:r>
    </w:p>
    <w:p>
      <w:pPr>
        <w:pStyle w:val="P46"/>
      </w:pPr>
      <w:r>
        <w:t xml:space="preserve">Label type, in accordance with Section </w:t>
      </w:r>
      <w:r>
        <w:fldChar w:fldCharType="begin"/>
      </w:r>
      <w:r>
        <w:instrText xml:space="preserve"> REF _Ref5708701 \n \h  \* MERGEFORMAT </w:instrText>
      </w:r>
      <w:r>
        <w:fldChar w:fldCharType="separate"/>
      </w:r>
      <w:r>
        <w:t>2.3</w:t>
      </w:r>
      <w:r>
        <w:fldChar w:fldCharType="end"/>
      </w:r>
      <w:r>
        <w:t>.</w:t>
      </w:r>
    </w:p>
    <w:p>
      <w:pPr>
        <w:pStyle w:val="P46"/>
      </w:pPr>
      <w:r>
        <w:t>Remarks</w:t>
      </w:r>
    </w:p>
    <w:p>
      <w:pPr>
        <w:pStyle w:val="P37"/>
      </w:pPr>
      <w:r>
        <w:t>Application of Pipe Labels</w:t>
      </w:r>
    </w:p>
    <w:p>
      <w:pPr>
        <w:pStyle w:val="P38"/>
      </w:pPr>
      <w:r>
        <w:t xml:space="preserve">Apply identification labels and directional arrows, at a minimum: </w:t>
      </w:r>
    </w:p>
    <w:p>
      <w:pPr>
        <w:pStyle w:val="P39"/>
      </w:pPr>
      <w:r>
        <w:t>On long straight runs in open areas at not more than 6m intervals and more frequently if required to ensure that at least one is visible from any one viewpoint in operating areas and walking aisles.</w:t>
      </w:r>
    </w:p>
    <w:p>
      <w:pPr>
        <w:pStyle w:val="P39"/>
      </w:pPr>
      <w:r>
        <w:t>At beginning and end points of each run and at each piece of equipment in run.</w:t>
      </w:r>
    </w:p>
    <w:p>
      <w:pPr>
        <w:pStyle w:val="P39"/>
      </w:pPr>
      <w:r>
        <w:t>On both sides of valves.</w:t>
      </w:r>
    </w:p>
    <w:p>
      <w:pPr>
        <w:pStyle w:val="P39"/>
      </w:pPr>
      <w:r>
        <w:t>On all branch fittings and elbows.</w:t>
      </w:r>
    </w:p>
    <w:p>
      <w:pPr>
        <w:pStyle w:val="P39"/>
      </w:pPr>
      <w:r>
        <w:t>On both sides where pipes and ducts pass through walls, floors and ceilings.</w:t>
      </w:r>
    </w:p>
    <w:p>
      <w:pPr>
        <w:pStyle w:val="P39"/>
      </w:pPr>
      <w:r>
        <w:t>Where circumstances make contents or direction of flow doubtful.</w:t>
      </w:r>
    </w:p>
    <w:p>
      <w:pPr>
        <w:pStyle w:val="P39"/>
      </w:pPr>
      <w:r>
        <w:t xml:space="preserve">At point immediately upstream of major manually operated or automatically controlled valves, dampers, etc.  Where this is not possible, place identification as close as possible, preferably on upstream side.</w:t>
      </w:r>
    </w:p>
    <w:p>
      <w:pPr>
        <w:pStyle w:val="P38"/>
      </w:pPr>
      <w:r>
        <w:t>Identification shall be easily and accurately readable from usual operating areas and from access points.</w:t>
      </w:r>
    </w:p>
    <w:p>
      <w:pPr>
        <w:pStyle w:val="P38"/>
      </w:pPr>
      <w:r>
        <w:t xml:space="preserve">Position of identification shall be approximately at right angles to the most convenient line of sight, considering operating positions, lighting conditions, risk of physical damage or injury and reduced visibility over time due to dust and dirt. When piping systems are located near ceilings or above an employee’s line of sight, identification shall be placed on the bottom of piping systems where clearly visible (see </w:t>
      </w:r>
      <w:r>
        <w:fldChar w:fldCharType="begin"/>
      </w:r>
      <w:r>
        <w:instrText xml:space="preserve"> REF _Ref5708764 \h  \* MERGEFORMAT </w:instrText>
      </w:r>
      <w:r>
        <w:fldChar w:fldCharType="separate"/>
      </w:r>
      <w:r>
        <w:t>Figure 3-1</w:t>
      </w:r>
      <w:r>
        <w:fldChar w:fldCharType="end"/>
      </w:r>
      <w:r>
        <w:fldChar w:fldCharType="begin"/>
      </w:r>
      <w:r>
        <w:instrText xml:space="preserve"> REF _Ref519077976 \h  \* MERGEFORMAT </w:instrText>
      </w:r>
      <w:r>
        <w:fldChar w:fldCharType="separate"/>
      </w:r>
      <w:r>
        <w:fldChar w:fldCharType="end"/>
      </w:r>
      <w:r>
        <w:t>). On vertical pipes, markers shall be placed on the side where visibility is best.</w:t>
      </w:r>
    </w:p>
    <w:p>
      <w:pPr>
        <w:jc w:val="center"/>
      </w:pPr>
      <w:r>
        <w:drawing>
          <wp:inline xmlns:wp="http://schemas.openxmlformats.org/drawingml/2006/wordprocessingDrawing">
            <wp:extent cx="2080260" cy="168402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080260" cy="1684020"/>
                    </a:xfrm>
                    <a:prstGeom prst="rect"/>
                    <a:noFill/>
                  </pic:spPr>
                </pic:pic>
              </a:graphicData>
            </a:graphic>
          </wp:inline>
        </w:drawing>
      </w:r>
    </w:p>
    <w:p>
      <w:pPr>
        <w:pStyle w:val="P32"/>
        <w:jc w:val="center"/>
      </w:pPr>
      <w:bookmarkStart w:id="5" w:name="_Ref5708764"/>
      <w:bookmarkStart w:id="6" w:name="_Ref5708761"/>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1</w:t>
      </w:r>
      <w:r>
        <w:fldChar w:fldCharType="end"/>
      </w:r>
      <w:bookmarkEnd w:id="5"/>
      <w:r>
        <w:t>: Visibility of Piping Identification</w:t>
      </w:r>
      <w:bookmarkEnd w:id="6"/>
    </w:p>
    <w:p>
      <w:pPr>
        <w:pStyle w:val="P38"/>
      </w:pPr>
      <w:r>
        <w:t xml:space="preserve">Provide identification only after all painting has been completed. Painting to be in accordance with </w:t>
      </w:r>
      <w:r>
        <w:rPr>
          <w:highlight w:val="yellow"/>
        </w:rPr>
        <w:t>Section 09900 – Painting and Protective Coatings</w:t>
      </w:r>
      <w:r>
        <w:t xml:space="preserve">. </w:t>
      </w:r>
    </w:p>
    <w:p>
      <w:pPr>
        <w:pStyle w:val="P38"/>
      </w:pPr>
      <w:r>
        <w:t xml:space="preserve">Identification of all Assets shall be in accordance with the </w:t>
      </w:r>
      <w:r>
        <w:rPr>
          <w:highlight w:val="yellow"/>
        </w:rPr>
        <w:t>Section 35 - Development and Maintenance of Asset Inventory and Tagging</w:t>
      </w:r>
      <w:r>
        <w:t xml:space="preserve"> Guideline.</w:t>
      </w:r>
    </w:p>
    <w:p>
      <w:pPr>
        <w:pStyle w:val="P37"/>
      </w:pPr>
      <w:r>
        <w:t>Application of Duct Labels</w:t>
      </w:r>
    </w:p>
    <w:p>
      <w:pPr>
        <w:pStyle w:val="P38"/>
      </w:pPr>
      <w:r>
        <w:t>Exposed Ductwork: Identify exposed ductwork in locations as follows:</w:t>
      </w:r>
    </w:p>
    <w:p>
      <w:pPr>
        <w:pStyle w:val="P39"/>
      </w:pPr>
      <w:r>
        <w:t>At the start and end of every duct run.</w:t>
      </w:r>
    </w:p>
    <w:p>
      <w:pPr>
        <w:pStyle w:val="P39"/>
      </w:pPr>
      <w:r>
        <w:t>Adjacent to each damper and similar accessory.</w:t>
      </w:r>
    </w:p>
    <w:p>
      <w:pPr>
        <w:pStyle w:val="P39"/>
      </w:pPr>
      <w:r>
        <w:t>At each piece of connecting equipment.</w:t>
      </w:r>
    </w:p>
    <w:p>
      <w:pPr>
        <w:pStyle w:val="P39"/>
      </w:pPr>
      <w:r>
        <w:t>On both sides of every duct passing through a floor, wall or partition, unless otherwise specified in the Contract Documents.</w:t>
      </w:r>
    </w:p>
    <w:p>
      <w:pPr>
        <w:pStyle w:val="P39"/>
      </w:pPr>
      <w:r>
        <w:t>At 6m intervals on duct runs exceeding 6m in length.</w:t>
      </w:r>
    </w:p>
    <w:p>
      <w:pPr>
        <w:pStyle w:val="P39"/>
      </w:pPr>
      <w:r>
        <w:t>On each side of branch connections.</w:t>
      </w:r>
    </w:p>
    <w:p>
      <w:pPr>
        <w:pStyle w:val="P39"/>
      </w:pPr>
      <w:r>
        <w:t>At least once in each room, and at least once on duct runs less than 6m in length.</w:t>
      </w:r>
    </w:p>
    <w:p>
      <w:pPr>
        <w:pStyle w:val="P38"/>
      </w:pPr>
      <w:r>
        <w:t>Concealed Ductwork: Identify concealed ductwork in locations as follows:</w:t>
      </w:r>
    </w:p>
    <w:p>
      <w:pPr>
        <w:pStyle w:val="P39"/>
      </w:pPr>
      <w:r>
        <w:t>At points where ducts enter and leave rooms, shafts, furred spaces, and similar areas.</w:t>
      </w:r>
    </w:p>
    <w:p>
      <w:pPr>
        <w:pStyle w:val="P39"/>
      </w:pPr>
      <w:r>
        <w:t>At maximum 6m intervals on piping and ductwork above suspended accessible ceilings, and at least once in each room.</w:t>
      </w:r>
    </w:p>
    <w:p>
      <w:pPr>
        <w:pStyle w:val="P39"/>
      </w:pPr>
      <w:r>
        <w:t>At each access door location.</w:t>
      </w:r>
    </w:p>
    <w:p>
      <w:pPr>
        <w:tabs>
          <w:tab w:val="left" w:pos="1296" w:leader="none"/>
        </w:tabs>
        <w:rPr>
          <w:b w:val="1"/>
        </w:rPr>
      </w:pPr>
      <w:r>
        <w:rPr>
          <w:b w:val="1"/>
        </w:rPr>
        <w:tab/>
      </w:r>
    </w:p>
    <w:p>
      <w:pPr>
        <w:pStyle w:val="P37"/>
      </w:pPr>
      <w:bookmarkStart w:id="7" w:name="_Ref26277556"/>
      <w:r>
        <w:t>Colour Legend</w:t>
      </w:r>
      <w:bookmarkEnd w:id="7"/>
    </w:p>
    <w:p>
      <w:pPr>
        <w:rPr>
          <w:i w:val="1"/>
        </w:rPr>
      </w:pPr>
      <w:r>
        <w:rPr>
          <w:i w:val="1"/>
          <w:highlight w:val="yellow"/>
        </w:rPr>
        <w:t xml:space="preserve">[Consultant Note: If </w:t>
      </w:r>
      <w:r>
        <w:rPr>
          <w:i w:val="1"/>
          <w:highlight w:val="yellow"/>
        </w:rPr>
        <w:t xml:space="preserve">modifications or additions to the piping systems and </w:t>
      </w:r>
      <w:r>
        <w:rPr>
          <w:i w:val="1"/>
          <w:highlight w:val="yellow"/>
        </w:rPr>
        <w:t xml:space="preserve">label </w:t>
      </w:r>
      <w:r>
        <w:rPr>
          <w:i w:val="1"/>
          <w:highlight w:val="yellow"/>
        </w:rPr>
        <w:t xml:space="preserve">background </w:t>
      </w:r>
      <w:r>
        <w:rPr>
          <w:i w:val="1"/>
          <w:highlight w:val="yellow"/>
        </w:rPr>
        <w:t xml:space="preserve">colours </w:t>
      </w:r>
      <w:r>
        <w:rPr>
          <w:i w:val="1"/>
          <w:highlight w:val="yellow"/>
        </w:rPr>
        <w:t xml:space="preserve">are </w:t>
      </w:r>
      <w:r>
        <w:rPr>
          <w:i w:val="1"/>
          <w:highlight w:val="yellow"/>
        </w:rPr>
        <w:t xml:space="preserve">required, </w:t>
      </w:r>
      <w:r>
        <w:rPr>
          <w:i w:val="1"/>
          <w:highlight w:val="yellow"/>
        </w:rPr>
        <w:t xml:space="preserve">the </w:t>
      </w:r>
      <w:r>
        <w:rPr>
          <w:i w:val="1"/>
          <w:highlight w:val="yellow"/>
        </w:rPr>
        <w:t xml:space="preserve">tables below are to be </w:t>
      </w:r>
      <w:r>
        <w:rPr>
          <w:i w:val="1"/>
          <w:highlight w:val="yellow"/>
        </w:rPr>
        <w:t>revised</w:t>
      </w:r>
      <w:r>
        <w:rPr>
          <w:i w:val="1"/>
          <w:highlight w:val="yellow"/>
        </w:rPr>
        <w:t xml:space="preserve"> and </w:t>
      </w:r>
      <w:r>
        <w:rPr>
          <w:i w:val="1"/>
          <w:highlight w:val="yellow"/>
        </w:rPr>
        <w:t xml:space="preserve">finalized </w:t>
      </w:r>
      <w:r>
        <w:rPr>
          <w:i w:val="1"/>
          <w:highlight w:val="yellow"/>
        </w:rPr>
        <w:t>in consultation with the Region.]</w:t>
      </w:r>
    </w:p>
    <w:p/>
    <w:p>
      <w:pPr>
        <w:pStyle w:val="P32"/>
      </w:pPr>
      <w:r>
        <w:t xml:space="preserve">Group # </w:t>
      </w:r>
      <w:r>
        <w:fldChar w:fldCharType="begin"/>
      </w:r>
      <w:r>
        <w:instrText xml:space="preserve"> SEQ Group_# \* ARABIC </w:instrText>
      </w:r>
      <w:r>
        <w:fldChar w:fldCharType="separate"/>
      </w:r>
      <w:r>
        <w:t>1</w:t>
      </w:r>
      <w:r>
        <w:fldChar w:fldCharType="end"/>
      </w:r>
      <w:r>
        <w:t xml:space="preserve"> Flammable Materials Colour Legend</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2221" w:type="dxa"/>
            <w:vAlign w:val="center"/>
          </w:tcPr>
          <w:p>
            <w:pPr>
              <w:jc w:val="center"/>
              <w:rPr>
                <w:b w:val="1"/>
                <w:sz w:val="24"/>
              </w:rPr>
            </w:pPr>
            <w:r>
              <w:rPr>
                <w:b w:val="1"/>
              </w:rPr>
              <w:t>Piping System</w:t>
            </w:r>
          </w:p>
        </w:tc>
        <w:tc>
          <w:tcPr>
            <w:tcW w:w="1912" w:type="dxa"/>
            <w:vAlign w:val="center"/>
          </w:tcPr>
          <w:p>
            <w:pPr>
              <w:jc w:val="center"/>
              <w:rPr>
                <w:b w:val="1"/>
                <w:sz w:val="24"/>
              </w:rPr>
            </w:pPr>
            <w:r>
              <w:rPr>
                <w:b w:val="1"/>
              </w:rPr>
              <w:t>Label Background Colour</w:t>
            </w:r>
          </w:p>
        </w:tc>
        <w:tc>
          <w:tcPr>
            <w:tcW w:w="1912" w:type="dxa"/>
          </w:tcPr>
          <w:p>
            <w:pPr>
              <w:jc w:val="center"/>
              <w:rPr>
                <w:b w:val="1"/>
              </w:rPr>
            </w:pPr>
            <w:r>
              <w:rPr>
                <w:b w:val="1"/>
              </w:rPr>
              <w:t>Letter Colour</w:t>
            </w:r>
          </w:p>
        </w:tc>
        <w:tc>
          <w:tcPr>
            <w:tcW w:w="1912" w:type="dxa"/>
          </w:tcPr>
          <w:p>
            <w:pPr>
              <w:jc w:val="center"/>
              <w:rPr>
                <w:b w:val="1"/>
              </w:rPr>
            </w:pPr>
            <w:r>
              <w:rPr>
                <w:b w:val="1"/>
              </w:rPr>
              <w:t>Max</w:t>
            </w:r>
            <w:r>
              <w:rPr>
                <w:b w:val="1"/>
              </w:rPr>
              <w:t>imum</w:t>
            </w:r>
            <w:r>
              <w:rPr>
                <w:b w:val="1"/>
              </w:rPr>
              <w:t xml:space="preserve"> Label Intervals</w:t>
            </w:r>
          </w:p>
        </w:tc>
      </w:tr>
      <w:tr>
        <w:trPr>
          <w:wAfter w:w="0" w:type="dxa"/>
        </w:trPr>
        <w:tc>
          <w:tcPr>
            <w:tcW w:w="2221" w:type="dxa"/>
          </w:tcPr>
          <w:p>
            <w:pPr>
              <w:rPr>
                <w:sz w:val="24"/>
              </w:rPr>
            </w:pPr>
            <w:r>
              <w:t>Propane Gas</w:t>
            </w:r>
          </w:p>
        </w:tc>
        <w:tc>
          <w:tcPr>
            <w:tcW w:w="1912" w:type="dxa"/>
            <w:vMerge w:val="restart"/>
            <w:vAlign w:val="center"/>
          </w:tcPr>
          <w:p>
            <w:pPr>
              <w:jc w:val="center"/>
            </w:pPr>
            <w:r>
              <w:t>Orange</w:t>
            </w:r>
          </w:p>
        </w:tc>
        <w:tc>
          <w:tcPr>
            <w:tcW w:w="1912" w:type="dxa"/>
            <w:vMerge w:val="restart"/>
            <w:vAlign w:val="center"/>
          </w:tcPr>
          <w:p>
            <w:pPr>
              <w:jc w:val="center"/>
            </w:pPr>
            <w:r>
              <w:t>Black</w:t>
            </w:r>
          </w:p>
        </w:tc>
        <w:tc>
          <w:tcPr>
            <w:tcW w:w="1912" w:type="dxa"/>
            <w:vMerge w:val="restart"/>
            <w:vAlign w:val="center"/>
          </w:tcPr>
          <w:p>
            <w:pPr>
              <w:jc w:val="center"/>
            </w:pPr>
            <w:r>
              <w:t>3m</w:t>
            </w:r>
          </w:p>
        </w:tc>
      </w:tr>
      <w:tr>
        <w:trPr>
          <w:wAfter w:w="0" w:type="dxa"/>
        </w:trPr>
        <w:tc>
          <w:tcPr>
            <w:tcW w:w="2221" w:type="dxa"/>
          </w:tcPr>
          <w:p>
            <w:pPr>
              <w:rPr>
                <w:sz w:val="24"/>
              </w:rPr>
            </w:pPr>
            <w:r>
              <w:t>Natural Gas</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pPr>
              <w:rPr>
                <w:sz w:val="24"/>
              </w:rPr>
            </w:pPr>
            <w:r>
              <w:t>Hydraulic Fluid</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pPr>
              <w:rPr>
                <w:sz w:val="24"/>
              </w:rPr>
            </w:pPr>
            <w:r>
              <w:t>Fuel Oil</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r>
              <w:t>Acetylene</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r>
              <w:t>Digester Gas</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r>
              <w:t>Diesel Fuel</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r>
              <w:t>Gasoline</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pPr>
              <w:rPr>
                <w:highlight w:val="yellow"/>
              </w:rPr>
            </w:pPr>
            <w:r>
              <w:rPr>
                <w:highlight w:val="yellow"/>
              </w:rPr>
              <w:t>[]</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pPr>
              <w:rPr>
                <w:highlight w:val="yellow"/>
              </w:rPr>
            </w:pPr>
            <w:r>
              <w:rPr>
                <w:highlight w:val="yellow"/>
              </w:rPr>
              <w:t>[]</w:t>
            </w:r>
          </w:p>
        </w:tc>
        <w:tc>
          <w:tcPr>
            <w:tcW w:w="1912" w:type="dxa"/>
            <w:vMerge w:val="continue"/>
            <w:vAlign w:val="center"/>
          </w:tcPr>
          <w:p>
            <w:pPr>
              <w:rPr>
                <w:sz w:val="24"/>
              </w:rPr>
            </w:pPr>
          </w:p>
        </w:tc>
        <w:tc>
          <w:tcPr>
            <w:tcW w:w="1912" w:type="dxa"/>
            <w:vMerge w:val="continue"/>
          </w:tcPr>
          <w:p/>
        </w:tc>
        <w:tc>
          <w:tcPr>
            <w:tcW w:w="1912" w:type="dxa"/>
            <w:vMerge w:val="continue"/>
          </w:tcPr>
          <w:p/>
        </w:tc>
      </w:tr>
    </w:tbl>
    <w:p>
      <w:pPr>
        <w:jc w:val="center"/>
        <w:rPr>
          <w:b w:val="1"/>
        </w:rPr>
      </w:pPr>
    </w:p>
    <w:p>
      <w:pPr>
        <w:pStyle w:val="P32"/>
      </w:pPr>
      <w:r>
        <w:t xml:space="preserve">Group # </w:t>
      </w:r>
      <w:r>
        <w:fldChar w:fldCharType="begin"/>
      </w:r>
      <w:r>
        <w:instrText xml:space="preserve"> SEQ Group_# \* ARABIC </w:instrText>
      </w:r>
      <w:r>
        <w:fldChar w:fldCharType="separate"/>
      </w:r>
      <w:r>
        <w:t>2</w:t>
      </w:r>
      <w:r>
        <w:fldChar w:fldCharType="end"/>
      </w:r>
      <w:r>
        <w:t xml:space="preserve"> Fire Fighting (Protection) Colour Legend</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3071" w:type="dxa"/>
            <w:vAlign w:val="center"/>
          </w:tcPr>
          <w:p>
            <w:pPr>
              <w:jc w:val="center"/>
              <w:rPr>
                <w:b w:val="1"/>
                <w:sz w:val="24"/>
              </w:rPr>
            </w:pPr>
            <w:r>
              <w:rPr>
                <w:b w:val="1"/>
              </w:rPr>
              <w:t>Piping System</w:t>
            </w:r>
          </w:p>
        </w:tc>
        <w:tc>
          <w:tcPr>
            <w:tcW w:w="1912" w:type="dxa"/>
            <w:vAlign w:val="center"/>
          </w:tcPr>
          <w:p>
            <w:pPr>
              <w:jc w:val="center"/>
              <w:rPr>
                <w:b w:val="1"/>
                <w:sz w:val="24"/>
              </w:rPr>
            </w:pPr>
            <w:r>
              <w:rPr>
                <w:b w:val="1"/>
              </w:rPr>
              <w:t>Label Background Colour</w:t>
            </w:r>
          </w:p>
        </w:tc>
        <w:tc>
          <w:tcPr>
            <w:tcW w:w="1912" w:type="dxa"/>
          </w:tcPr>
          <w:p>
            <w:pPr>
              <w:jc w:val="center"/>
              <w:rPr>
                <w:b w:val="1"/>
              </w:rPr>
            </w:pPr>
            <w:r>
              <w:rPr>
                <w:b w:val="1"/>
              </w:rPr>
              <w:t>Le</w:t>
            </w:r>
            <w:r>
              <w:rPr>
                <w:b w:val="1"/>
              </w:rPr>
              <w:t xml:space="preserve">gend </w:t>
            </w:r>
            <w:r>
              <w:rPr>
                <w:b w:val="1"/>
              </w:rPr>
              <w:t>Colour</w:t>
            </w:r>
          </w:p>
        </w:tc>
        <w:tc>
          <w:tcPr>
            <w:tcW w:w="1912" w:type="dxa"/>
          </w:tcPr>
          <w:p>
            <w:pPr>
              <w:jc w:val="center"/>
              <w:rPr>
                <w:b w:val="1"/>
              </w:rPr>
            </w:pPr>
            <w:r>
              <w:rPr>
                <w:b w:val="1"/>
              </w:rPr>
              <w:t>Max</w:t>
            </w:r>
            <w:r>
              <w:rPr>
                <w:b w:val="1"/>
              </w:rPr>
              <w:t>imum</w:t>
            </w:r>
            <w:r>
              <w:rPr>
                <w:b w:val="1"/>
              </w:rPr>
              <w:t xml:space="preserve"> Label Intervals</w:t>
            </w:r>
          </w:p>
        </w:tc>
      </w:tr>
      <w:tr>
        <w:trPr>
          <w:wAfter w:w="0" w:type="dxa"/>
        </w:trPr>
        <w:tc>
          <w:tcPr>
            <w:tcW w:w="3071" w:type="dxa"/>
          </w:tcPr>
          <w:p>
            <w:r>
              <w:t>Standpipe System</w:t>
            </w:r>
          </w:p>
        </w:tc>
        <w:tc>
          <w:tcPr>
            <w:tcW w:w="1912" w:type="dxa"/>
            <w:vMerge w:val="restart"/>
            <w:vAlign w:val="center"/>
          </w:tcPr>
          <w:p>
            <w:pPr>
              <w:jc w:val="center"/>
            </w:pPr>
            <w:r>
              <w:t>Red</w:t>
            </w:r>
          </w:p>
        </w:tc>
        <w:tc>
          <w:tcPr>
            <w:tcW w:w="1912" w:type="dxa"/>
            <w:vMerge w:val="restart"/>
            <w:vAlign w:val="center"/>
          </w:tcPr>
          <w:p>
            <w:pPr>
              <w:jc w:val="center"/>
            </w:pPr>
            <w:r>
              <w:t>White</w:t>
            </w:r>
          </w:p>
        </w:tc>
        <w:tc>
          <w:tcPr>
            <w:tcW w:w="1912" w:type="dxa"/>
            <w:vMerge w:val="restart"/>
            <w:vAlign w:val="center"/>
          </w:tcPr>
          <w:p>
            <w:pPr>
              <w:jc w:val="center"/>
            </w:pPr>
            <w:r>
              <w:t>3m</w:t>
            </w:r>
          </w:p>
        </w:tc>
      </w:tr>
      <w:tr>
        <w:trPr>
          <w:wAfter w:w="0" w:type="dxa"/>
        </w:trPr>
        <w:tc>
          <w:tcPr>
            <w:tcW w:w="3071" w:type="dxa"/>
          </w:tcPr>
          <w:p>
            <w:r>
              <w:t>Sprinkler System</w:t>
            </w:r>
          </w:p>
        </w:tc>
        <w:tc>
          <w:tcPr>
            <w:tcW w:w="1912" w:type="dxa"/>
            <w:vMerge w:val="continue"/>
            <w:vAlign w:val="center"/>
          </w:tcPr>
          <w:p/>
        </w:tc>
        <w:tc>
          <w:tcPr>
            <w:tcW w:w="1912" w:type="dxa"/>
            <w:vMerge w:val="continue"/>
          </w:tcPr>
          <w:p/>
        </w:tc>
        <w:tc>
          <w:tcPr>
            <w:tcW w:w="1912" w:type="dxa"/>
            <w:vMerge w:val="continue"/>
          </w:tcPr>
          <w:p/>
        </w:tc>
      </w:tr>
      <w:tr>
        <w:trPr>
          <w:wAfter w:w="0" w:type="dxa"/>
        </w:trPr>
        <w:tc>
          <w:tcPr>
            <w:tcW w:w="3071" w:type="dxa"/>
          </w:tcPr>
          <w:p>
            <w:pPr>
              <w:rPr>
                <w:highlight w:val="yellow"/>
              </w:rPr>
            </w:pPr>
            <w:r>
              <w:t>Halon Fire Protection</w:t>
            </w:r>
          </w:p>
        </w:tc>
        <w:tc>
          <w:tcPr>
            <w:tcW w:w="1912" w:type="dxa"/>
            <w:vMerge w:val="continue"/>
            <w:vAlign w:val="center"/>
          </w:tcPr>
          <w:p/>
        </w:tc>
        <w:tc>
          <w:tcPr>
            <w:tcW w:w="1912" w:type="dxa"/>
            <w:vMerge w:val="continue"/>
          </w:tcPr>
          <w:p/>
        </w:tc>
        <w:tc>
          <w:tcPr>
            <w:tcW w:w="1912" w:type="dxa"/>
            <w:vMerge w:val="continue"/>
          </w:tcPr>
          <w:p/>
        </w:tc>
      </w:tr>
      <w:tr>
        <w:trPr>
          <w:wAfter w:w="0" w:type="dxa"/>
        </w:trPr>
        <w:tc>
          <w:tcPr>
            <w:tcW w:w="3071" w:type="dxa"/>
          </w:tcPr>
          <w:p>
            <w:r>
              <w:t>Carbon Dioxide Fire Protection</w:t>
            </w:r>
          </w:p>
        </w:tc>
        <w:tc>
          <w:tcPr>
            <w:tcW w:w="1912" w:type="dxa"/>
            <w:vMerge w:val="continue"/>
            <w:vAlign w:val="center"/>
          </w:tcPr>
          <w:p/>
        </w:tc>
        <w:tc>
          <w:tcPr>
            <w:tcW w:w="1912" w:type="dxa"/>
            <w:vMerge w:val="continue"/>
          </w:tcPr>
          <w:p/>
        </w:tc>
        <w:tc>
          <w:tcPr>
            <w:tcW w:w="1912" w:type="dxa"/>
            <w:vMerge w:val="continue"/>
          </w:tcPr>
          <w:p/>
        </w:tc>
      </w:tr>
      <w:tr>
        <w:trPr>
          <w:wAfter w:w="0" w:type="dxa"/>
        </w:trPr>
        <w:tc>
          <w:tcPr>
            <w:tcW w:w="3071" w:type="dxa"/>
          </w:tcPr>
          <w:p>
            <w:r>
              <w:t>Fire Suppression Foam</w:t>
            </w:r>
          </w:p>
        </w:tc>
        <w:tc>
          <w:tcPr>
            <w:tcW w:w="1912" w:type="dxa"/>
            <w:vMerge w:val="continue"/>
            <w:vAlign w:val="center"/>
          </w:tcPr>
          <w:p/>
        </w:tc>
        <w:tc>
          <w:tcPr>
            <w:tcW w:w="1912" w:type="dxa"/>
            <w:vMerge w:val="continue"/>
          </w:tcPr>
          <w:p/>
        </w:tc>
        <w:tc>
          <w:tcPr>
            <w:tcW w:w="1912" w:type="dxa"/>
            <w:vMerge w:val="continue"/>
          </w:tcPr>
          <w:p/>
        </w:tc>
      </w:tr>
      <w:tr>
        <w:trPr>
          <w:wAfter w:w="0" w:type="dxa"/>
        </w:trPr>
        <w:tc>
          <w:tcPr>
            <w:tcW w:w="3071" w:type="dxa"/>
          </w:tcPr>
          <w:p>
            <w:pPr>
              <w:rPr>
                <w:highlight w:val="yellow"/>
              </w:rPr>
            </w:pPr>
            <w:r>
              <w:rPr>
                <w:highlight w:val="yellow"/>
              </w:rPr>
              <w:t>[]</w:t>
            </w:r>
          </w:p>
        </w:tc>
        <w:tc>
          <w:tcPr>
            <w:tcW w:w="1912" w:type="dxa"/>
            <w:vMerge w:val="continue"/>
            <w:vAlign w:val="center"/>
          </w:tcPr>
          <w:p/>
        </w:tc>
        <w:tc>
          <w:tcPr>
            <w:tcW w:w="1912" w:type="dxa"/>
            <w:vMerge w:val="continue"/>
          </w:tcPr>
          <w:p/>
        </w:tc>
        <w:tc>
          <w:tcPr>
            <w:tcW w:w="1912" w:type="dxa"/>
            <w:vMerge w:val="continue"/>
          </w:tcPr>
          <w:p/>
        </w:tc>
      </w:tr>
      <w:tr>
        <w:trPr>
          <w:wAfter w:w="0" w:type="dxa"/>
        </w:trPr>
        <w:tc>
          <w:tcPr>
            <w:tcW w:w="3071" w:type="dxa"/>
          </w:tcPr>
          <w:p>
            <w:pPr>
              <w:rPr>
                <w:highlight w:val="yellow"/>
              </w:rPr>
            </w:pPr>
            <w:r>
              <w:rPr>
                <w:highlight w:val="yellow"/>
              </w:rPr>
              <w:t>[]</w:t>
            </w:r>
          </w:p>
        </w:tc>
        <w:tc>
          <w:tcPr>
            <w:tcW w:w="1912" w:type="dxa"/>
            <w:vMerge w:val="continue"/>
            <w:vAlign w:val="center"/>
          </w:tcPr>
          <w:p/>
        </w:tc>
        <w:tc>
          <w:tcPr>
            <w:tcW w:w="1912" w:type="dxa"/>
            <w:vMerge w:val="continue"/>
          </w:tcPr>
          <w:p/>
        </w:tc>
        <w:tc>
          <w:tcPr>
            <w:tcW w:w="1912" w:type="dxa"/>
            <w:vMerge w:val="continue"/>
          </w:tcPr>
          <w:p/>
        </w:tc>
      </w:tr>
    </w:tbl>
    <w:p>
      <w:pPr>
        <w:jc w:val="center"/>
        <w:rPr>
          <w:b w:val="1"/>
        </w:rPr>
      </w:pPr>
    </w:p>
    <w:p>
      <w:pPr>
        <w:pStyle w:val="P32"/>
      </w:pPr>
      <w:r>
        <w:br w:type="page"/>
      </w:r>
    </w:p>
    <w:p>
      <w:pPr>
        <w:pStyle w:val="P32"/>
      </w:pPr>
      <w:r>
        <w:t xml:space="preserve">Group # </w:t>
      </w:r>
      <w:r>
        <w:fldChar w:fldCharType="begin"/>
      </w:r>
      <w:r>
        <w:instrText xml:space="preserve"> SEQ Group_# \* ARABIC </w:instrText>
      </w:r>
      <w:r>
        <w:fldChar w:fldCharType="separate"/>
      </w:r>
      <w:r>
        <w:t>3</w:t>
      </w:r>
      <w:r>
        <w:fldChar w:fldCharType="end"/>
      </w:r>
      <w:r>
        <w:t xml:space="preserve"> Dangerous Substances Colour Legend</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3468" w:type="dxa"/>
            <w:vAlign w:val="center"/>
          </w:tcPr>
          <w:p>
            <w:pPr>
              <w:jc w:val="center"/>
              <w:rPr>
                <w:b w:val="1"/>
                <w:sz w:val="24"/>
              </w:rPr>
            </w:pPr>
            <w:r>
              <w:rPr>
                <w:b w:val="1"/>
              </w:rPr>
              <w:t>Piping System</w:t>
            </w:r>
          </w:p>
        </w:tc>
        <w:tc>
          <w:tcPr>
            <w:tcW w:w="1912" w:type="dxa"/>
            <w:vAlign w:val="center"/>
          </w:tcPr>
          <w:p>
            <w:pPr>
              <w:jc w:val="center"/>
              <w:rPr>
                <w:b w:val="1"/>
                <w:sz w:val="24"/>
              </w:rPr>
            </w:pPr>
            <w:r>
              <w:rPr>
                <w:b w:val="1"/>
              </w:rPr>
              <w:t>Label Background Colour</w:t>
            </w:r>
          </w:p>
        </w:tc>
        <w:tc>
          <w:tcPr>
            <w:tcW w:w="1912" w:type="dxa"/>
          </w:tcPr>
          <w:p>
            <w:pPr>
              <w:jc w:val="center"/>
              <w:rPr>
                <w:b w:val="1"/>
              </w:rPr>
            </w:pPr>
            <w:r>
              <w:rPr>
                <w:b w:val="1"/>
              </w:rPr>
              <w:t>Legend Colour</w:t>
            </w:r>
          </w:p>
        </w:tc>
        <w:tc>
          <w:tcPr>
            <w:tcW w:w="1912" w:type="dxa"/>
          </w:tcPr>
          <w:p>
            <w:pPr>
              <w:jc w:val="center"/>
              <w:rPr>
                <w:b w:val="1"/>
              </w:rPr>
            </w:pPr>
            <w:r>
              <w:rPr>
                <w:b w:val="1"/>
              </w:rPr>
              <w:t>Max</w:t>
            </w:r>
            <w:r>
              <w:rPr>
                <w:b w:val="1"/>
              </w:rPr>
              <w:t>imum</w:t>
            </w:r>
            <w:r>
              <w:rPr>
                <w:b w:val="1"/>
              </w:rPr>
              <w:t xml:space="preserve"> Label Intervals</w:t>
            </w:r>
          </w:p>
        </w:tc>
      </w:tr>
      <w:tr>
        <w:trPr>
          <w:wAfter w:w="0" w:type="dxa"/>
        </w:trPr>
        <w:tc>
          <w:tcPr>
            <w:tcW w:w="3468" w:type="dxa"/>
          </w:tcPr>
          <w:p>
            <w:pPr>
              <w:rPr>
                <w:sz w:val="24"/>
              </w:rPr>
            </w:pPr>
            <w:r>
              <w:t xml:space="preserve">Chlorine Gas </w:t>
            </w:r>
          </w:p>
        </w:tc>
        <w:tc>
          <w:tcPr>
            <w:tcW w:w="1912" w:type="dxa"/>
            <w:vMerge w:val="restart"/>
            <w:vAlign w:val="center"/>
          </w:tcPr>
          <w:p>
            <w:pPr>
              <w:jc w:val="center"/>
            </w:pPr>
            <w:r>
              <w:t>Yellow</w:t>
            </w:r>
          </w:p>
        </w:tc>
        <w:tc>
          <w:tcPr>
            <w:tcW w:w="1912" w:type="dxa"/>
            <w:vMerge w:val="restart"/>
            <w:vAlign w:val="center"/>
          </w:tcPr>
          <w:p>
            <w:pPr>
              <w:jc w:val="center"/>
            </w:pPr>
            <w:r>
              <w:t>Black</w:t>
            </w:r>
          </w:p>
        </w:tc>
        <w:tc>
          <w:tcPr>
            <w:tcW w:w="1912" w:type="dxa"/>
            <w:vMerge w:val="restart"/>
            <w:vAlign w:val="center"/>
          </w:tcPr>
          <w:p>
            <w:pPr>
              <w:jc w:val="center"/>
            </w:pPr>
            <w:r>
              <w:t>3m</w:t>
            </w:r>
          </w:p>
        </w:tc>
      </w:tr>
      <w:tr>
        <w:trPr>
          <w:wAfter w:w="0" w:type="dxa"/>
        </w:trPr>
        <w:tc>
          <w:tcPr>
            <w:tcW w:w="3468" w:type="dxa"/>
          </w:tcPr>
          <w:p>
            <w:r>
              <w:t>Boiler Feed</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sz w:val="24"/>
              </w:rPr>
            </w:pPr>
            <w:r>
              <w:t>Boiler Blow Off</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sz w:val="24"/>
              </w:rPr>
            </w:pPr>
            <w:r>
              <w:t>High Temperature Domestic Water</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sz w:val="24"/>
              </w:rPr>
            </w:pPr>
            <w:r>
              <w:t>Low Pressure Stream</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sz w:val="24"/>
              </w:rPr>
            </w:pPr>
            <w:r>
              <w:t>Low Pressure Condensate</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r>
              <w:t>High Pressure Steam</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r>
              <w:t>High Pressure Condensate</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r>
              <w:t>Phosphoric Acid</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sz w:val="24"/>
              </w:rPr>
            </w:pPr>
            <w:r>
              <w:t>Sulfuric Acid</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r>
              <w:t xml:space="preserve">Ferric Chloride </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r>
              <w:t>Ammonia</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r>
              <w:t>Hydrofluosilicic Acid</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highlight w:val="yellow"/>
              </w:rPr>
            </w:pPr>
            <w:r>
              <w:rPr>
                <w:highlight w:val="yellow"/>
              </w:rPr>
              <w:t>[]</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highlight w:val="yellow"/>
              </w:rPr>
            </w:pPr>
            <w:r>
              <w:rPr>
                <w:highlight w:val="yellow"/>
              </w:rPr>
              <w:t>[]</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bl>
    <w:p/>
    <w:p>
      <w:pPr>
        <w:pStyle w:val="P32"/>
      </w:pPr>
      <w:r>
        <w:t xml:space="preserve">Group # </w:t>
      </w:r>
      <w:r>
        <w:fldChar w:fldCharType="begin"/>
      </w:r>
      <w:r>
        <w:instrText xml:space="preserve"> SEQ Group_# \* ARABIC </w:instrText>
      </w:r>
      <w:r>
        <w:fldChar w:fldCharType="separate"/>
      </w:r>
      <w:r>
        <w:t>4</w:t>
      </w:r>
      <w:r>
        <w:fldChar w:fldCharType="end"/>
      </w:r>
      <w:r>
        <w:t xml:space="preserve"> Other Chemical Substances Colour Legend</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3299" w:type="dxa"/>
            <w:vAlign w:val="center"/>
          </w:tcPr>
          <w:p>
            <w:pPr>
              <w:jc w:val="center"/>
              <w:rPr>
                <w:b w:val="1"/>
                <w:sz w:val="24"/>
              </w:rPr>
            </w:pPr>
            <w:r>
              <w:rPr>
                <w:b w:val="1"/>
              </w:rPr>
              <w:t>Piping System</w:t>
            </w:r>
          </w:p>
        </w:tc>
        <w:tc>
          <w:tcPr>
            <w:tcW w:w="1912" w:type="dxa"/>
            <w:vAlign w:val="center"/>
          </w:tcPr>
          <w:p>
            <w:pPr>
              <w:jc w:val="center"/>
              <w:rPr>
                <w:b w:val="1"/>
                <w:sz w:val="24"/>
              </w:rPr>
            </w:pPr>
            <w:r>
              <w:rPr>
                <w:b w:val="1"/>
              </w:rPr>
              <w:t>Label Background Colour</w:t>
            </w:r>
          </w:p>
        </w:tc>
        <w:tc>
          <w:tcPr>
            <w:tcW w:w="1912" w:type="dxa"/>
          </w:tcPr>
          <w:p>
            <w:pPr>
              <w:jc w:val="center"/>
              <w:rPr>
                <w:b w:val="1"/>
              </w:rPr>
            </w:pPr>
            <w:r>
              <w:rPr>
                <w:b w:val="1"/>
              </w:rPr>
              <w:t>Legend Colour</w:t>
            </w:r>
          </w:p>
        </w:tc>
        <w:tc>
          <w:tcPr>
            <w:tcW w:w="1912" w:type="dxa"/>
          </w:tcPr>
          <w:p>
            <w:pPr>
              <w:jc w:val="center"/>
              <w:rPr>
                <w:b w:val="1"/>
              </w:rPr>
            </w:pPr>
            <w:r>
              <w:rPr>
                <w:b w:val="1"/>
              </w:rPr>
              <w:t>Max</w:t>
            </w:r>
            <w:r>
              <w:rPr>
                <w:b w:val="1"/>
              </w:rPr>
              <w:t>imum</w:t>
            </w:r>
            <w:r>
              <w:rPr>
                <w:b w:val="1"/>
              </w:rPr>
              <w:t xml:space="preserve"> Label Intervals</w:t>
            </w:r>
          </w:p>
        </w:tc>
      </w:tr>
      <w:tr>
        <w:trPr>
          <w:wAfter w:w="0" w:type="dxa"/>
        </w:trPr>
        <w:tc>
          <w:tcPr>
            <w:tcW w:w="3299" w:type="dxa"/>
          </w:tcPr>
          <w:p>
            <w:r>
              <w:t xml:space="preserve">Chlorine Solutions </w:t>
            </w:r>
          </w:p>
        </w:tc>
        <w:tc>
          <w:tcPr>
            <w:tcW w:w="1912" w:type="dxa"/>
            <w:vMerge w:val="restart"/>
            <w:vAlign w:val="center"/>
          </w:tcPr>
          <w:p>
            <w:pPr>
              <w:jc w:val="center"/>
            </w:pPr>
            <w:r>
              <w:t>Light Yellow</w:t>
            </w:r>
          </w:p>
          <w:p>
            <w:pPr>
              <w:jc w:val="center"/>
            </w:pPr>
          </w:p>
        </w:tc>
        <w:tc>
          <w:tcPr>
            <w:tcW w:w="1912" w:type="dxa"/>
            <w:vMerge w:val="restart"/>
            <w:vAlign w:val="center"/>
          </w:tcPr>
          <w:p>
            <w:pPr>
              <w:jc w:val="center"/>
            </w:pPr>
            <w:r>
              <w:t>Black</w:t>
            </w:r>
          </w:p>
          <w:p>
            <w:pPr>
              <w:jc w:val="center"/>
            </w:pPr>
          </w:p>
        </w:tc>
        <w:tc>
          <w:tcPr>
            <w:tcW w:w="1912" w:type="dxa"/>
            <w:vMerge w:val="restart"/>
            <w:vAlign w:val="center"/>
          </w:tcPr>
          <w:p>
            <w:pPr>
              <w:jc w:val="center"/>
            </w:pPr>
            <w:r>
              <w:t>3m</w:t>
            </w:r>
          </w:p>
          <w:p>
            <w:pPr>
              <w:jc w:val="center"/>
            </w:pPr>
          </w:p>
        </w:tc>
      </w:tr>
      <w:tr>
        <w:trPr>
          <w:wAfter w:w="0" w:type="dxa"/>
        </w:trPr>
        <w:tc>
          <w:tcPr>
            <w:tcW w:w="3299" w:type="dxa"/>
          </w:tcPr>
          <w:p>
            <w:r>
              <w:t>Sodium Hydroxide</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Neutralizers (Soda Ash, Sodium Bisulfate, Hydrochloric Acid)</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Dechlorinating Agent</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Foaming Reduction Agent</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Coagulants (Polyaluminum Chloride, Alum)</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Sodium Silicate</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Sodium Hypochlorite</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Citric Acid</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Carbon Dioxide</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Fluoride</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Potassium Permanganate</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Antiscalant Chemical</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Glycol Solution</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Polymer Solution</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pPr>
              <w:rPr>
                <w:highlight w:val="yellow"/>
              </w:rPr>
            </w:pPr>
            <w:r>
              <w:rPr>
                <w:highlight w:val="yellow"/>
              </w:rPr>
              <w:t>[]</w:t>
            </w:r>
          </w:p>
        </w:tc>
        <w:tc>
          <w:tcPr>
            <w:tcW w:w="1912" w:type="dxa"/>
            <w:vMerge w:val="continue"/>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299" w:type="dxa"/>
          </w:tcPr>
          <w:p>
            <w:pPr>
              <w:rPr>
                <w:highlight w:val="yellow"/>
              </w:rPr>
            </w:pPr>
            <w:r>
              <w:rPr>
                <w:highlight w:val="yellow"/>
              </w:rPr>
              <w:t>[]</w:t>
            </w:r>
          </w:p>
        </w:tc>
        <w:tc>
          <w:tcPr>
            <w:tcW w:w="1912" w:type="dxa"/>
            <w:vMerge w:val="continue"/>
          </w:tcPr>
          <w:p>
            <w:pPr>
              <w:jc w:val="center"/>
            </w:pPr>
          </w:p>
        </w:tc>
        <w:tc>
          <w:tcPr>
            <w:tcW w:w="1912" w:type="dxa"/>
            <w:vMerge w:val="continue"/>
          </w:tcPr>
          <w:p>
            <w:pPr>
              <w:jc w:val="center"/>
            </w:pPr>
          </w:p>
        </w:tc>
        <w:tc>
          <w:tcPr>
            <w:tcW w:w="1912" w:type="dxa"/>
            <w:vMerge w:val="continue"/>
          </w:tcPr>
          <w:p>
            <w:pPr>
              <w:jc w:val="center"/>
            </w:pPr>
          </w:p>
        </w:tc>
      </w:tr>
    </w:tbl>
    <w:p>
      <w:pPr>
        <w:jc w:val="center"/>
        <w:rPr>
          <w:b w:val="1"/>
        </w:rPr>
      </w:pPr>
    </w:p>
    <w:p>
      <w:pPr>
        <w:rPr>
          <w:rFonts w:ascii="Arial Narrow" w:hAnsi="Arial Narrow"/>
          <w:i w:val="1"/>
          <w:sz w:val="20"/>
        </w:rPr>
      </w:pPr>
      <w:r>
        <w:rPr>
          <w:rFonts w:ascii="Arial Narrow" w:hAnsi="Arial Narrow"/>
          <w:i w:val="1"/>
          <w:sz w:val="20"/>
        </w:rPr>
        <w:br w:type="page"/>
      </w:r>
      <w:r>
        <w:rPr>
          <w:rFonts w:ascii="Arial Narrow" w:hAnsi="Arial Narrow"/>
          <w:i w:val="1"/>
          <w:sz w:val="20"/>
        </w:rPr>
        <w:t xml:space="preserve">Group # </w:t>
      </w:r>
      <w:r>
        <w:rPr>
          <w:b w:val="1"/>
        </w:rPr>
        <w:fldChar w:fldCharType="begin"/>
      </w:r>
      <w:r>
        <w:rPr>
          <w:rFonts w:ascii="Arial Narrow" w:hAnsi="Arial Narrow"/>
          <w:i w:val="1"/>
          <w:sz w:val="20"/>
        </w:rPr>
        <w:instrText xml:space="preserve"> SEQ Group_# \* ARABIC </w:instrText>
      </w:r>
      <w:r>
        <w:rPr>
          <w:b w:val="1"/>
        </w:rPr>
        <w:fldChar w:fldCharType="separate"/>
      </w:r>
      <w:r>
        <w:rPr>
          <w:rFonts w:ascii="Arial Narrow" w:hAnsi="Arial Narrow"/>
          <w:i w:val="1"/>
          <w:sz w:val="20"/>
        </w:rPr>
        <w:t>5</w:t>
      </w:r>
      <w:r>
        <w:rPr>
          <w:b w:val="1"/>
        </w:rPr>
        <w:fldChar w:fldCharType="end"/>
      </w:r>
      <w:r>
        <w:rPr>
          <w:rFonts w:ascii="Arial Narrow" w:hAnsi="Arial Narrow"/>
          <w:i w:val="1"/>
          <w:sz w:val="20"/>
        </w:rPr>
        <w:t xml:space="preserve"> Process and Drainage Colour Legend</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3368" w:type="dxa"/>
            <w:vAlign w:val="center"/>
          </w:tcPr>
          <w:p>
            <w:pPr>
              <w:jc w:val="center"/>
              <w:rPr>
                <w:b w:val="1"/>
                <w:sz w:val="24"/>
              </w:rPr>
            </w:pPr>
            <w:r>
              <w:rPr>
                <w:b w:val="1"/>
              </w:rPr>
              <w:t>Piping System</w:t>
            </w:r>
          </w:p>
        </w:tc>
        <w:tc>
          <w:tcPr>
            <w:tcW w:w="1912" w:type="dxa"/>
            <w:vAlign w:val="center"/>
          </w:tcPr>
          <w:p>
            <w:pPr>
              <w:jc w:val="center"/>
              <w:rPr>
                <w:b w:val="1"/>
                <w:sz w:val="24"/>
              </w:rPr>
            </w:pPr>
            <w:r>
              <w:rPr>
                <w:b w:val="1"/>
              </w:rPr>
              <w:t>Label Background Colour</w:t>
            </w:r>
          </w:p>
        </w:tc>
        <w:tc>
          <w:tcPr>
            <w:tcW w:w="1912" w:type="dxa"/>
          </w:tcPr>
          <w:p>
            <w:pPr>
              <w:jc w:val="center"/>
              <w:rPr>
                <w:b w:val="1"/>
              </w:rPr>
            </w:pPr>
            <w:r>
              <w:rPr>
                <w:b w:val="1"/>
              </w:rPr>
              <w:t>Legend Colour</w:t>
            </w:r>
          </w:p>
        </w:tc>
        <w:tc>
          <w:tcPr>
            <w:tcW w:w="1912" w:type="dxa"/>
          </w:tcPr>
          <w:p>
            <w:pPr>
              <w:jc w:val="center"/>
              <w:rPr>
                <w:b w:val="1"/>
              </w:rPr>
            </w:pPr>
            <w:r>
              <w:rPr>
                <w:b w:val="1"/>
              </w:rPr>
              <w:t>Max</w:t>
            </w:r>
            <w:r>
              <w:rPr>
                <w:b w:val="1"/>
              </w:rPr>
              <w:t>imum</w:t>
            </w:r>
            <w:r>
              <w:rPr>
                <w:b w:val="1"/>
              </w:rPr>
              <w:t xml:space="preserve"> Label Intervals</w:t>
            </w:r>
          </w:p>
        </w:tc>
      </w:tr>
      <w:tr>
        <w:trPr>
          <w:wAfter w:w="0" w:type="dxa"/>
        </w:trPr>
        <w:tc>
          <w:tcPr>
            <w:tcW w:w="3368" w:type="dxa"/>
            <w:vAlign w:val="center"/>
          </w:tcPr>
          <w:p>
            <w:r>
              <w:t>Non-Potable Water/Drainage &amp; Effluent</w:t>
            </w:r>
          </w:p>
        </w:tc>
        <w:tc>
          <w:tcPr>
            <w:tcW w:w="1912" w:type="dxa"/>
            <w:vAlign w:val="center"/>
          </w:tcPr>
          <w:p>
            <w:pPr>
              <w:jc w:val="center"/>
            </w:pPr>
            <w:r>
              <w:t>Light Grey</w:t>
            </w:r>
          </w:p>
        </w:tc>
        <w:tc>
          <w:tcPr>
            <w:tcW w:w="1912" w:type="dxa"/>
            <w:vAlign w:val="center"/>
          </w:tcPr>
          <w:p>
            <w:pPr>
              <w:jc w:val="center"/>
            </w:pPr>
            <w:r>
              <w:t>White</w:t>
            </w:r>
          </w:p>
        </w:tc>
        <w:tc>
          <w:tcPr>
            <w:tcW w:w="1912" w:type="dxa"/>
            <w:vMerge w:val="restart"/>
            <w:vAlign w:val="center"/>
          </w:tcPr>
          <w:p>
            <w:pPr>
              <w:jc w:val="center"/>
            </w:pPr>
            <w:r>
              <w:rPr>
                <w:color w:val="000000"/>
              </w:rPr>
              <w:t>6m</w:t>
            </w:r>
          </w:p>
        </w:tc>
      </w:tr>
      <w:tr>
        <w:trPr>
          <w:wAfter w:w="0" w:type="dxa"/>
        </w:trPr>
        <w:tc>
          <w:tcPr>
            <w:tcW w:w="3368" w:type="dxa"/>
            <w:vAlign w:val="center"/>
          </w:tcPr>
          <w:p>
            <w:r>
              <w:t>WTP Settled Backwash/WWTP Supernatant and Centrate</w:t>
            </w:r>
          </w:p>
        </w:tc>
        <w:tc>
          <w:tcPr>
            <w:tcW w:w="1912" w:type="dxa"/>
            <w:vAlign w:val="center"/>
          </w:tcPr>
          <w:p>
            <w:pPr>
              <w:jc w:val="center"/>
            </w:pPr>
            <w:r>
              <w:t>Light Brown</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WTP Backwash Waste/WWTP RAS WAS and Digester Sludge</w:t>
            </w:r>
          </w:p>
        </w:tc>
        <w:tc>
          <w:tcPr>
            <w:tcW w:w="1912" w:type="dxa"/>
            <w:vAlign w:val="center"/>
          </w:tcPr>
          <w:p>
            <w:pPr>
              <w:jc w:val="center"/>
            </w:pPr>
            <w:r>
              <w:t>Mid Brown</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WTP Sludges/WWTP Raw Sludge and Scum</w:t>
            </w:r>
          </w:p>
        </w:tc>
        <w:tc>
          <w:tcPr>
            <w:tcW w:w="1912" w:type="dxa"/>
            <w:vAlign w:val="center"/>
          </w:tcPr>
          <w:p>
            <w:pPr>
              <w:jc w:val="center"/>
            </w:pPr>
            <w:r>
              <w:t>Dark Brown</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Raw Water/Sanitary Waste</w:t>
            </w:r>
          </w:p>
        </w:tc>
        <w:tc>
          <w:tcPr>
            <w:tcW w:w="1912" w:type="dxa"/>
            <w:vAlign w:val="center"/>
          </w:tcPr>
          <w:p>
            <w:pPr>
              <w:jc w:val="center"/>
            </w:pPr>
            <w:r>
              <w:t>Mid Grey</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Finished/Potable Water</w:t>
            </w:r>
          </w:p>
        </w:tc>
        <w:tc>
          <w:tcPr>
            <w:tcW w:w="1912" w:type="dxa"/>
            <w:vAlign w:val="center"/>
          </w:tcPr>
          <w:p>
            <w:pPr>
              <w:jc w:val="center"/>
            </w:pPr>
            <w:r>
              <w:t>Light Blue</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Settled Water</w:t>
            </w:r>
          </w:p>
        </w:tc>
        <w:tc>
          <w:tcPr>
            <w:tcW w:w="1912" w:type="dxa"/>
            <w:vAlign w:val="center"/>
          </w:tcPr>
          <w:p>
            <w:pPr>
              <w:jc w:val="center"/>
            </w:pPr>
            <w:r>
              <w:t>Mid Blue</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Raw Water</w:t>
            </w:r>
          </w:p>
        </w:tc>
        <w:tc>
          <w:tcPr>
            <w:tcW w:w="1912" w:type="dxa"/>
            <w:vAlign w:val="center"/>
          </w:tcPr>
          <w:p>
            <w:pPr>
              <w:jc w:val="center"/>
            </w:pPr>
            <w:r>
              <w:t>Dark Blue</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Process Air</w:t>
            </w:r>
          </w:p>
        </w:tc>
        <w:tc>
          <w:tcPr>
            <w:tcW w:w="1912" w:type="dxa"/>
            <w:vAlign w:val="center"/>
          </w:tcPr>
          <w:p>
            <w:pPr>
              <w:jc w:val="center"/>
            </w:pPr>
            <w:r>
              <w:t>Bright Green</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tcPr>
          <w:p>
            <w:r>
              <w:rPr>
                <w:highlight w:val="yellow"/>
              </w:rPr>
              <w:t>[]</w:t>
            </w:r>
          </w:p>
        </w:tc>
        <w:tc>
          <w:tcPr>
            <w:tcW w:w="1912" w:type="dxa"/>
          </w:tcPr>
          <w:p>
            <w:pPr>
              <w:jc w:val="center"/>
            </w:pPr>
            <w:r>
              <w:rPr>
                <w:highlight w:val="yellow"/>
              </w:rPr>
              <w:t>[]</w:t>
            </w:r>
          </w:p>
        </w:tc>
        <w:tc>
          <w:tcPr>
            <w:tcW w:w="1912" w:type="dxa"/>
          </w:tcPr>
          <w:p>
            <w:pPr>
              <w:jc w:val="center"/>
            </w:pPr>
            <w:r>
              <w:rPr>
                <w:highlight w:val="yellow"/>
              </w:rPr>
              <w:t>[]</w:t>
            </w:r>
          </w:p>
        </w:tc>
        <w:tc>
          <w:tcPr>
            <w:tcW w:w="1912" w:type="dxa"/>
            <w:vMerge w:val="continue"/>
            <w:vAlign w:val="center"/>
          </w:tcPr>
          <w:p>
            <w:pPr>
              <w:jc w:val="center"/>
            </w:pPr>
          </w:p>
        </w:tc>
      </w:tr>
      <w:tr>
        <w:trPr>
          <w:wAfter w:w="0" w:type="dxa"/>
        </w:trPr>
        <w:tc>
          <w:tcPr>
            <w:tcW w:w="3368" w:type="dxa"/>
          </w:tcPr>
          <w:p>
            <w:r>
              <w:rPr>
                <w:highlight w:val="yellow"/>
              </w:rPr>
              <w:t>[]</w:t>
            </w:r>
          </w:p>
        </w:tc>
        <w:tc>
          <w:tcPr>
            <w:tcW w:w="1912" w:type="dxa"/>
          </w:tcPr>
          <w:p>
            <w:pPr>
              <w:jc w:val="center"/>
            </w:pPr>
            <w:r>
              <w:rPr>
                <w:highlight w:val="yellow"/>
              </w:rPr>
              <w:t>[]</w:t>
            </w:r>
          </w:p>
        </w:tc>
        <w:tc>
          <w:tcPr>
            <w:tcW w:w="1912" w:type="dxa"/>
          </w:tcPr>
          <w:p>
            <w:pPr>
              <w:jc w:val="center"/>
            </w:pPr>
            <w:r>
              <w:rPr>
                <w:highlight w:val="yellow"/>
              </w:rPr>
              <w:t>[]</w:t>
            </w:r>
          </w:p>
        </w:tc>
        <w:tc>
          <w:tcPr>
            <w:tcW w:w="1912" w:type="dxa"/>
            <w:vMerge w:val="continue"/>
            <w:vAlign w:val="center"/>
          </w:tcPr>
          <w:p>
            <w:pPr>
              <w:jc w:val="center"/>
            </w:pPr>
          </w:p>
        </w:tc>
      </w:tr>
    </w:tbl>
    <w:p>
      <w:pPr>
        <w:jc w:val="center"/>
        <w:rPr>
          <w:b w:val="1"/>
        </w:rPr>
      </w:pPr>
    </w:p>
    <w:p>
      <w:pPr>
        <w:pStyle w:val="P37"/>
      </w:pPr>
      <w:r>
        <w:t>Supplement</w:t>
      </w:r>
    </w:p>
    <w:p>
      <w:pPr>
        <w:pStyle w:val="P38"/>
      </w:pPr>
      <w:r>
        <w:t>The supplement listed below, attached following “END OF SECTION”, forms a part of this Section</w:t>
      </w:r>
    </w:p>
    <w:p>
      <w:pPr>
        <w:pStyle w:val="P39"/>
      </w:pPr>
      <w:r>
        <w:t>Pipe Labeling Schedule</w:t>
      </w:r>
    </w:p>
    <w:p>
      <w:pPr>
        <w:jc w:val="center"/>
        <w:rPr>
          <w:b w:val="1"/>
        </w:rPr>
      </w:pPr>
      <w:r>
        <w:rPr>
          <w:b w:val="1"/>
        </w:rPr>
        <w:t>END OF SECTION</w:t>
      </w:r>
    </w:p>
    <w:p>
      <w:pPr>
        <w:jc w:val="center"/>
        <w:rPr>
          <w:b w:val="1"/>
        </w:rPr>
      </w:pPr>
      <w:r>
        <w:rPr>
          <w:b w:val="1"/>
        </w:rPr>
        <w:br w:type="page"/>
      </w:r>
    </w:p>
    <w:tbl>
      <w:tblPr>
        <w:tblStyle w:val="T2"/>
        <w:tblW w:w="10626" w:type="dxa"/>
        <w:jc w:val="center"/>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top w:w="0" w:type="dxa"/>
          <w:bottom w:w="0" w:type="dxa"/>
        </w:tblCellMar>
      </w:tblPr>
      <w:tblGrid/>
      <w:tr>
        <w:trPr>
          <w:wAfter w:w="0" w:type="dxa"/>
          <w:trHeight w:hRule="atLeast" w:val="540"/>
        </w:trPr>
        <w:tc>
          <w:tcPr>
            <w:tcW w:w="900"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Label Count</w:t>
            </w:r>
          </w:p>
        </w:tc>
        <w:tc>
          <w:tcPr>
            <w:tcW w:w="900"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Legend Text</w:t>
            </w:r>
          </w:p>
        </w:tc>
        <w:tc>
          <w:tcPr>
            <w:tcW w:w="1896"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Service/Contents</w:t>
            </w:r>
          </w:p>
        </w:tc>
        <w:tc>
          <w:tcPr>
            <w:tcW w:w="990"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Label Type</w:t>
            </w:r>
          </w:p>
        </w:tc>
        <w:tc>
          <w:tcPr>
            <w:tcW w:w="1416"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Label Background Colour</w:t>
            </w:r>
          </w:p>
        </w:tc>
        <w:tc>
          <w:tcPr>
            <w:tcW w:w="1644"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Label Legend and Arrow Colour</w:t>
            </w:r>
          </w:p>
        </w:tc>
        <w:tc>
          <w:tcPr>
            <w:tcW w:w="2880"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Remarks</w:t>
            </w:r>
          </w:p>
        </w:tc>
      </w:tr>
      <w:tr>
        <w:trPr>
          <w:wAfter w:w="0" w:type="dxa"/>
          <w:trHeight w:hRule="atLeast" w:val="216"/>
        </w:trPr>
        <w:tc>
          <w:tcPr>
            <w:tcW w:w="900" w:type="dxa"/>
            <w:tcBorders>
              <w:top w:val="none" w:sz="0" w:space="0" w:shadow="0" w:frame="0"/>
              <w:bottom w:val="single" w:sz="6" w:space="0" w:shadow="0" w:frame="0"/>
            </w:tcBorders>
          </w:tcPr>
          <w:p>
            <w:pPr>
              <w:pStyle w:val="P20"/>
              <w:keepNext w:val="1"/>
              <w:jc w:val="center"/>
              <w:rPr>
                <w:rFonts w:ascii="Calibri" w:hAnsi="Calibri"/>
                <w:sz w:val="16"/>
              </w:rPr>
            </w:pPr>
          </w:p>
        </w:tc>
        <w:tc>
          <w:tcPr>
            <w:tcW w:w="900" w:type="dxa"/>
            <w:tcBorders>
              <w:top w:val="none" w:sz="0" w:space="0" w:shadow="0" w:frame="0"/>
              <w:bottom w:val="single" w:sz="6" w:space="0" w:shadow="0" w:frame="0"/>
            </w:tcBorders>
          </w:tcPr>
          <w:p>
            <w:pPr>
              <w:pStyle w:val="P20"/>
              <w:keepNext w:val="1"/>
              <w:jc w:val="center"/>
              <w:rPr>
                <w:rFonts w:ascii="Calibri" w:hAnsi="Calibri"/>
                <w:sz w:val="16"/>
              </w:rPr>
            </w:pPr>
          </w:p>
        </w:tc>
        <w:tc>
          <w:tcPr>
            <w:tcW w:w="1896" w:type="dxa"/>
            <w:tcBorders>
              <w:top w:val="none" w:sz="0" w:space="0" w:shadow="0" w:frame="0"/>
              <w:bottom w:val="single" w:sz="6" w:space="0" w:shadow="0" w:frame="0"/>
            </w:tcBorders>
          </w:tcPr>
          <w:p>
            <w:pPr>
              <w:pStyle w:val="P20"/>
              <w:keepNext w:val="1"/>
              <w:jc w:val="center"/>
              <w:rPr>
                <w:rFonts w:ascii="Calibri" w:hAnsi="Calibri"/>
                <w:sz w:val="16"/>
              </w:rPr>
            </w:pPr>
          </w:p>
        </w:tc>
        <w:tc>
          <w:tcPr>
            <w:tcW w:w="990" w:type="dxa"/>
            <w:tcBorders>
              <w:top w:val="none" w:sz="0" w:space="0" w:shadow="0" w:frame="0"/>
            </w:tcBorders>
          </w:tcPr>
          <w:p>
            <w:pPr>
              <w:pStyle w:val="P20"/>
              <w:keepNext w:val="1"/>
              <w:jc w:val="center"/>
              <w:rPr>
                <w:rFonts w:ascii="Calibri" w:hAnsi="Calibri"/>
                <w:sz w:val="16"/>
              </w:rPr>
            </w:pPr>
          </w:p>
        </w:tc>
        <w:tc>
          <w:tcPr>
            <w:tcW w:w="1416" w:type="dxa"/>
            <w:tcBorders>
              <w:top w:val="none" w:sz="0" w:space="0" w:shadow="0" w:frame="0"/>
            </w:tcBorders>
          </w:tcPr>
          <w:p>
            <w:pPr>
              <w:pStyle w:val="P20"/>
              <w:keepNext w:val="1"/>
              <w:jc w:val="center"/>
              <w:rPr>
                <w:rFonts w:ascii="Calibri" w:hAnsi="Calibri"/>
                <w:sz w:val="16"/>
              </w:rPr>
            </w:pPr>
          </w:p>
        </w:tc>
        <w:tc>
          <w:tcPr>
            <w:tcW w:w="1644" w:type="dxa"/>
            <w:tcBorders>
              <w:top w:val="none" w:sz="0" w:space="0" w:shadow="0" w:frame="0"/>
            </w:tcBorders>
          </w:tcPr>
          <w:p>
            <w:pPr>
              <w:pStyle w:val="P20"/>
              <w:keepNext w:val="1"/>
              <w:jc w:val="center"/>
              <w:rPr>
                <w:rFonts w:ascii="Calibri" w:hAnsi="Calibri"/>
                <w:sz w:val="16"/>
              </w:rPr>
            </w:pPr>
          </w:p>
        </w:tc>
        <w:tc>
          <w:tcPr>
            <w:tcW w:w="2880" w:type="dxa"/>
            <w:tcBorders>
              <w:top w:val="none" w:sz="0" w:space="0" w:shadow="0" w:frame="0"/>
            </w:tcBorders>
          </w:tcPr>
          <w:p>
            <w:pPr>
              <w:pStyle w:val="P20"/>
              <w:keepNext w:val="1"/>
              <w:jc w:val="center"/>
              <w:rPr>
                <w:rFonts w:ascii="Calibri" w:hAnsi="Calibri"/>
                <w:sz w:val="16"/>
              </w:rPr>
            </w:pPr>
          </w:p>
        </w:tc>
      </w:tr>
      <w:tr>
        <w:trPr>
          <w:wAfter w:w="0" w:type="dxa"/>
          <w:trHeight w:hRule="atLeast" w:val="216"/>
        </w:trPr>
        <w:tc>
          <w:tcPr>
            <w:tcW w:w="900" w:type="dxa"/>
            <w:tcBorders>
              <w:top w:val="single" w:sz="6" w:space="0" w:shadow="0" w:frame="0"/>
              <w:bottom w:val="single" w:sz="4" w:space="0" w:shadow="0" w:frame="0"/>
            </w:tcBorders>
          </w:tcPr>
          <w:p>
            <w:pPr>
              <w:pStyle w:val="P20"/>
              <w:keepNext w:val="1"/>
              <w:keepLines w:val="1"/>
              <w:jc w:val="center"/>
              <w:rPr>
                <w:rFonts w:ascii="Calibri" w:hAnsi="Calibri"/>
                <w:sz w:val="16"/>
              </w:rPr>
            </w:pPr>
          </w:p>
        </w:tc>
        <w:tc>
          <w:tcPr>
            <w:tcW w:w="900" w:type="dxa"/>
            <w:tcBorders>
              <w:top w:val="single" w:sz="6" w:space="0" w:shadow="0" w:frame="0"/>
              <w:bottom w:val="single" w:sz="4" w:space="0" w:shadow="0" w:frame="0"/>
            </w:tcBorders>
          </w:tcPr>
          <w:p>
            <w:pPr>
              <w:pStyle w:val="P20"/>
              <w:keepNext w:val="1"/>
              <w:keepLines w:val="1"/>
              <w:jc w:val="center"/>
              <w:rPr>
                <w:rFonts w:ascii="Calibri" w:hAnsi="Calibri"/>
                <w:sz w:val="16"/>
              </w:rPr>
            </w:pPr>
          </w:p>
        </w:tc>
        <w:tc>
          <w:tcPr>
            <w:tcW w:w="1896" w:type="dxa"/>
            <w:tcBorders>
              <w:top w:val="single" w:sz="6" w:space="0" w:shadow="0" w:frame="0"/>
              <w:bottom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keepNext w:val="1"/>
              <w:jc w:val="center"/>
              <w:rPr>
                <w:rFonts w:ascii="Calibri" w:hAnsi="Calibri"/>
                <w:sz w:val="16"/>
              </w:rPr>
            </w:pPr>
          </w:p>
        </w:tc>
        <w:tc>
          <w:tcPr>
            <w:tcW w:w="1644" w:type="dxa"/>
          </w:tcPr>
          <w:p>
            <w:pPr>
              <w:pStyle w:val="P20"/>
              <w:keepNext w:val="1"/>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keepNext w:val="1"/>
              <w:keepLines w:val="1"/>
              <w:jc w:val="center"/>
              <w:rPr>
                <w:rFonts w:ascii="Calibri" w:hAnsi="Calibri"/>
                <w:sz w:val="16"/>
              </w:rPr>
            </w:pPr>
          </w:p>
        </w:tc>
        <w:tc>
          <w:tcPr>
            <w:tcW w:w="1644" w:type="dxa"/>
          </w:tcPr>
          <w:p>
            <w:pPr>
              <w:pStyle w:val="P20"/>
              <w:keepNext w:val="1"/>
              <w:keepLines w:val="1"/>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keepNext w:val="1"/>
              <w:keepLines w:val="1"/>
              <w:jc w:val="center"/>
              <w:rPr>
                <w:rFonts w:ascii="Calibri" w:hAnsi="Calibri"/>
                <w:sz w:val="16"/>
              </w:rPr>
            </w:pPr>
          </w:p>
        </w:tc>
        <w:tc>
          <w:tcPr>
            <w:tcW w:w="1644" w:type="dxa"/>
          </w:tcPr>
          <w:p>
            <w:pPr>
              <w:pStyle w:val="P20"/>
              <w:keepNext w:val="1"/>
              <w:keepLines w:val="1"/>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keepNext w:val="1"/>
              <w:keepLines w:val="1"/>
              <w:jc w:val="center"/>
              <w:rPr>
                <w:rFonts w:ascii="Calibri" w:hAnsi="Calibri"/>
                <w:sz w:val="16"/>
              </w:rPr>
            </w:pPr>
          </w:p>
        </w:tc>
        <w:tc>
          <w:tcPr>
            <w:tcW w:w="1644" w:type="dxa"/>
          </w:tcPr>
          <w:p>
            <w:pPr>
              <w:pStyle w:val="P20"/>
              <w:keepNext w:val="1"/>
              <w:keepLines w:val="1"/>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jc w:val="center"/>
              <w:rPr>
                <w:rFonts w:ascii="Calibri" w:hAnsi="Calibri"/>
                <w:sz w:val="16"/>
              </w:rPr>
            </w:pPr>
          </w:p>
        </w:tc>
        <w:tc>
          <w:tcPr>
            <w:tcW w:w="900" w:type="dxa"/>
            <w:tcBorders>
              <w:top w:val="single" w:sz="4" w:space="0" w:shadow="0" w:frame="0"/>
            </w:tcBorders>
          </w:tcPr>
          <w:p>
            <w:pPr>
              <w:pStyle w:val="P20"/>
              <w:jc w:val="center"/>
              <w:rPr>
                <w:rFonts w:ascii="Calibri" w:hAnsi="Calibri"/>
                <w:sz w:val="16"/>
              </w:rPr>
            </w:pPr>
          </w:p>
        </w:tc>
        <w:tc>
          <w:tcPr>
            <w:tcW w:w="1896" w:type="dxa"/>
            <w:tcBorders>
              <w:top w:val="single" w:sz="4" w:space="0" w:shadow="0" w:frame="0"/>
            </w:tcBorders>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jc w:val="center"/>
              <w:rPr>
                <w:rFonts w:ascii="Calibri" w:hAnsi="Calibri"/>
                <w:sz w:val="16"/>
              </w:rPr>
            </w:pPr>
          </w:p>
        </w:tc>
        <w:tc>
          <w:tcPr>
            <w:tcW w:w="900" w:type="dxa"/>
            <w:tcBorders>
              <w:top w:val="single" w:sz="4" w:space="0" w:shadow="0" w:frame="0"/>
            </w:tcBorders>
          </w:tcPr>
          <w:p>
            <w:pPr>
              <w:pStyle w:val="P20"/>
              <w:jc w:val="center"/>
              <w:rPr>
                <w:rFonts w:ascii="Calibri" w:hAnsi="Calibri"/>
                <w:sz w:val="16"/>
              </w:rPr>
            </w:pPr>
          </w:p>
        </w:tc>
        <w:tc>
          <w:tcPr>
            <w:tcW w:w="1896" w:type="dxa"/>
            <w:tcBorders>
              <w:top w:val="single" w:sz="4" w:space="0" w:shadow="0" w:frame="0"/>
            </w:tcBorders>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Lines w:val="1"/>
              <w:jc w:val="center"/>
              <w:rPr>
                <w:rFonts w:ascii="Calibri" w:hAnsi="Calibri"/>
                <w:sz w:val="16"/>
              </w:rPr>
            </w:pPr>
          </w:p>
        </w:tc>
        <w:tc>
          <w:tcPr>
            <w:tcW w:w="900" w:type="dxa"/>
            <w:tcBorders>
              <w:top w:val="single" w:sz="4" w:space="0" w:shadow="0" w:frame="0"/>
            </w:tcBorders>
          </w:tcPr>
          <w:p>
            <w:pPr>
              <w:pStyle w:val="P20"/>
              <w:keepLines w:val="1"/>
              <w:jc w:val="center"/>
              <w:rPr>
                <w:rFonts w:ascii="Calibri" w:hAnsi="Calibri"/>
                <w:sz w:val="16"/>
              </w:rPr>
            </w:pPr>
          </w:p>
        </w:tc>
        <w:tc>
          <w:tcPr>
            <w:tcW w:w="1896" w:type="dxa"/>
            <w:tcBorders>
              <w:top w:val="single" w:sz="4" w:space="0" w:shadow="0" w:frame="0"/>
            </w:tcBorders>
          </w:tcPr>
          <w:p>
            <w:pPr>
              <w:pStyle w:val="P20"/>
              <w:keepLines w:val="1"/>
              <w:jc w:val="center"/>
              <w:rPr>
                <w:rFonts w:ascii="Calibri" w:hAnsi="Calibri"/>
                <w:sz w:val="16"/>
              </w:rPr>
            </w:pPr>
          </w:p>
        </w:tc>
        <w:tc>
          <w:tcPr>
            <w:tcW w:w="990" w:type="dxa"/>
          </w:tcPr>
          <w:p>
            <w:pPr>
              <w:pStyle w:val="P20"/>
              <w:keepLines w:val="1"/>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Lines w:val="1"/>
              <w:jc w:val="center"/>
              <w:rPr>
                <w:rFonts w:ascii="Calibri" w:hAnsi="Calibri"/>
                <w:sz w:val="16"/>
              </w:rPr>
            </w:pPr>
          </w:p>
        </w:tc>
        <w:tc>
          <w:tcPr>
            <w:tcW w:w="900" w:type="dxa"/>
            <w:tcBorders>
              <w:top w:val="single" w:sz="4" w:space="0" w:shadow="0" w:frame="0"/>
            </w:tcBorders>
          </w:tcPr>
          <w:p>
            <w:pPr>
              <w:pStyle w:val="P20"/>
              <w:keepLines w:val="1"/>
              <w:jc w:val="center"/>
              <w:rPr>
                <w:rFonts w:ascii="Calibri" w:hAnsi="Calibri"/>
                <w:sz w:val="16"/>
              </w:rPr>
            </w:pPr>
          </w:p>
        </w:tc>
        <w:tc>
          <w:tcPr>
            <w:tcW w:w="1896" w:type="dxa"/>
            <w:tcBorders>
              <w:top w:val="single" w:sz="4" w:space="0" w:shadow="0" w:frame="0"/>
            </w:tcBorders>
          </w:tcPr>
          <w:p>
            <w:pPr>
              <w:pStyle w:val="P20"/>
              <w:keepLines w:val="1"/>
              <w:jc w:val="center"/>
              <w:rPr>
                <w:rFonts w:ascii="Calibri" w:hAnsi="Calibri"/>
                <w:sz w:val="16"/>
              </w:rPr>
            </w:pPr>
          </w:p>
        </w:tc>
        <w:tc>
          <w:tcPr>
            <w:tcW w:w="990" w:type="dxa"/>
          </w:tcPr>
          <w:p>
            <w:pPr>
              <w:pStyle w:val="P20"/>
              <w:keepLines w:val="1"/>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keepNext w:val="1"/>
              <w:keepLines w:val="1"/>
              <w:jc w:val="center"/>
              <w:rPr>
                <w:rFonts w:ascii="Calibri" w:hAnsi="Calibri"/>
                <w:sz w:val="16"/>
              </w:rPr>
            </w:pPr>
          </w:p>
        </w:tc>
        <w:tc>
          <w:tcPr>
            <w:tcW w:w="1644" w:type="dxa"/>
          </w:tcPr>
          <w:p>
            <w:pPr>
              <w:pStyle w:val="P20"/>
              <w:keepNext w:val="1"/>
              <w:keepLines w:val="1"/>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bottom w:val="none" w:sz="0" w:space="0" w:shadow="0" w:frame="0"/>
            </w:tcBorders>
          </w:tcPr>
          <w:p>
            <w:pPr>
              <w:pStyle w:val="P20"/>
              <w:jc w:val="center"/>
              <w:rPr>
                <w:rFonts w:ascii="Calibri" w:hAnsi="Calibri"/>
                <w:sz w:val="16"/>
              </w:rPr>
            </w:pPr>
          </w:p>
        </w:tc>
        <w:tc>
          <w:tcPr>
            <w:tcW w:w="900" w:type="dxa"/>
            <w:tcBorders>
              <w:bottom w:val="none" w:sz="0" w:space="0" w:shadow="0" w:frame="0"/>
            </w:tcBorders>
          </w:tcPr>
          <w:p>
            <w:pPr>
              <w:pStyle w:val="P20"/>
              <w:jc w:val="center"/>
              <w:rPr>
                <w:rFonts w:ascii="Calibri" w:hAnsi="Calibri"/>
                <w:sz w:val="16"/>
              </w:rPr>
            </w:pPr>
          </w:p>
        </w:tc>
        <w:tc>
          <w:tcPr>
            <w:tcW w:w="1896" w:type="dxa"/>
            <w:tcBorders>
              <w:bottom w:val="none" w:sz="0" w:space="0" w:shadow="0" w:frame="0"/>
            </w:tcBorders>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Borders>
              <w:bottom w:val="none" w:sz="0" w:space="0" w:shadow="0" w:frame="0"/>
            </w:tcBorders>
          </w:tcPr>
          <w:p>
            <w:pPr>
              <w:pStyle w:val="P20"/>
              <w:jc w:val="center"/>
              <w:rPr>
                <w:rFonts w:ascii="Calibri" w:hAnsi="Calibri"/>
                <w:sz w:val="16"/>
              </w:rPr>
            </w:pPr>
          </w:p>
        </w:tc>
        <w:tc>
          <w:tcPr>
            <w:tcW w:w="900" w:type="dxa"/>
            <w:tcBorders>
              <w:bottom w:val="none" w:sz="0" w:space="0" w:shadow="0" w:frame="0"/>
            </w:tcBorders>
          </w:tcPr>
          <w:p>
            <w:pPr>
              <w:pStyle w:val="P20"/>
              <w:jc w:val="center"/>
              <w:rPr>
                <w:rFonts w:ascii="Calibri" w:hAnsi="Calibri"/>
                <w:sz w:val="16"/>
              </w:rPr>
            </w:pPr>
          </w:p>
        </w:tc>
        <w:tc>
          <w:tcPr>
            <w:tcW w:w="1896" w:type="dxa"/>
            <w:tcBorders>
              <w:bottom w:val="none" w:sz="0" w:space="0" w:shadow="0" w:frame="0"/>
            </w:tcBorders>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Borders>
              <w:bottom w:val="none" w:sz="0" w:space="0" w:shadow="0" w:frame="0"/>
            </w:tcBorders>
          </w:tcPr>
          <w:p>
            <w:pPr>
              <w:pStyle w:val="P20"/>
              <w:jc w:val="center"/>
              <w:rPr>
                <w:rFonts w:ascii="Calibri" w:hAnsi="Calibri"/>
                <w:sz w:val="16"/>
              </w:rPr>
            </w:pPr>
          </w:p>
        </w:tc>
        <w:tc>
          <w:tcPr>
            <w:tcW w:w="900" w:type="dxa"/>
            <w:tcBorders>
              <w:bottom w:val="none" w:sz="0" w:space="0" w:shadow="0" w:frame="0"/>
            </w:tcBorders>
          </w:tcPr>
          <w:p>
            <w:pPr>
              <w:pStyle w:val="P20"/>
              <w:jc w:val="center"/>
              <w:rPr>
                <w:rFonts w:ascii="Calibri" w:hAnsi="Calibri"/>
                <w:sz w:val="16"/>
              </w:rPr>
            </w:pPr>
          </w:p>
        </w:tc>
        <w:tc>
          <w:tcPr>
            <w:tcW w:w="1896" w:type="dxa"/>
            <w:tcBorders>
              <w:bottom w:val="none" w:sz="0" w:space="0" w:shadow="0" w:frame="0"/>
            </w:tcBorders>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keepLines w:val="1"/>
              <w:jc w:val="center"/>
              <w:rPr>
                <w:rFonts w:ascii="Calibri" w:hAnsi="Calibri"/>
                <w:sz w:val="16"/>
              </w:rPr>
            </w:pPr>
          </w:p>
        </w:tc>
        <w:tc>
          <w:tcPr>
            <w:tcW w:w="900" w:type="dxa"/>
          </w:tcPr>
          <w:p>
            <w:pPr>
              <w:pStyle w:val="P20"/>
              <w:keepLines w:val="1"/>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keepLines w:val="1"/>
              <w:jc w:val="center"/>
              <w:rPr>
                <w:rFonts w:ascii="Calibri" w:hAnsi="Calibri"/>
                <w:sz w:val="16"/>
              </w:rPr>
            </w:pPr>
          </w:p>
        </w:tc>
        <w:tc>
          <w:tcPr>
            <w:tcW w:w="900" w:type="dxa"/>
          </w:tcPr>
          <w:p>
            <w:pPr>
              <w:pStyle w:val="P20"/>
              <w:keepLines w:val="1"/>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keepLines w:val="1"/>
              <w:jc w:val="center"/>
              <w:rPr>
                <w:rFonts w:ascii="Calibri" w:hAnsi="Calibri"/>
                <w:sz w:val="16"/>
              </w:rPr>
            </w:pPr>
          </w:p>
        </w:tc>
        <w:tc>
          <w:tcPr>
            <w:tcW w:w="900" w:type="dxa"/>
          </w:tcPr>
          <w:p>
            <w:pPr>
              <w:pStyle w:val="P20"/>
              <w:keepLines w:val="1"/>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keepNext w:val="1"/>
              <w:keepLines w:val="1"/>
              <w:jc w:val="center"/>
              <w:rPr>
                <w:rFonts w:ascii="Calibri" w:hAnsi="Calibri"/>
                <w:sz w:val="16"/>
              </w:rPr>
            </w:pPr>
          </w:p>
        </w:tc>
        <w:tc>
          <w:tcPr>
            <w:tcW w:w="900" w:type="dxa"/>
          </w:tcPr>
          <w:p>
            <w:pPr>
              <w:pStyle w:val="P20"/>
              <w:keepNext w:val="1"/>
              <w:keepLines w:val="1"/>
              <w:jc w:val="center"/>
              <w:rPr>
                <w:rFonts w:ascii="Calibri" w:hAnsi="Calibri"/>
                <w:sz w:val="16"/>
              </w:rPr>
            </w:pPr>
          </w:p>
        </w:tc>
        <w:tc>
          <w:tcPr>
            <w:tcW w:w="1896" w:type="dxa"/>
          </w:tcPr>
          <w:p>
            <w:pPr>
              <w:pStyle w:val="P20"/>
              <w:keepNext w:val="1"/>
              <w:jc w:val="center"/>
              <w:rPr>
                <w:rFonts w:ascii="Calibri" w:hAnsi="Calibri"/>
                <w:sz w:val="16"/>
              </w:rPr>
            </w:pPr>
          </w:p>
        </w:tc>
        <w:tc>
          <w:tcPr>
            <w:tcW w:w="990" w:type="dxa"/>
          </w:tcPr>
          <w:p>
            <w:pPr>
              <w:pStyle w:val="P20"/>
              <w:keepNext w:val="1"/>
              <w:jc w:val="center"/>
              <w:rPr>
                <w:rFonts w:ascii="Calibri" w:hAnsi="Calibri"/>
                <w:sz w:val="16"/>
              </w:rPr>
            </w:pPr>
          </w:p>
        </w:tc>
        <w:tc>
          <w:tcPr>
            <w:tcW w:w="1416" w:type="dxa"/>
          </w:tcPr>
          <w:p>
            <w:pPr>
              <w:pStyle w:val="P20"/>
              <w:keepNext w:val="1"/>
              <w:jc w:val="center"/>
              <w:rPr>
                <w:rFonts w:ascii="Calibri" w:hAnsi="Calibri"/>
                <w:sz w:val="16"/>
              </w:rPr>
            </w:pPr>
          </w:p>
        </w:tc>
        <w:tc>
          <w:tcPr>
            <w:tcW w:w="1644" w:type="dxa"/>
          </w:tcPr>
          <w:p>
            <w:pPr>
              <w:pStyle w:val="P20"/>
              <w:keepNext w:val="1"/>
              <w:jc w:val="center"/>
              <w:rPr>
                <w:rFonts w:ascii="Calibri" w:hAnsi="Calibri"/>
                <w:sz w:val="16"/>
              </w:rPr>
            </w:pPr>
          </w:p>
        </w:tc>
        <w:tc>
          <w:tcPr>
            <w:tcW w:w="2880" w:type="dxa"/>
          </w:tcPr>
          <w:p>
            <w:pPr>
              <w:pStyle w:val="P20"/>
              <w:keepNext w:val="1"/>
              <w:jc w:val="center"/>
              <w:rPr>
                <w:rFonts w:ascii="Calibri" w:hAnsi="Calibri"/>
                <w:sz w:val="16"/>
              </w:rPr>
            </w:pPr>
          </w:p>
        </w:tc>
      </w:tr>
    </w:tbl>
    <w:p>
      <w:pPr>
        <w:pStyle w:val="P32"/>
        <w:rPr>
          <w:b w:val="1"/>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26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15100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PLUMBING PIPING</w:t>
    </w:r>
    <w:r>
      <w:tab/>
      <w:t>2014-12-16</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15075</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r>
    <w:r>
      <w:rPr>
        <w:rFonts w:ascii="Calibri (Body)" w:hAnsi="Calibri (Body)"/>
        <w:b w:val="1"/>
        <w:sz w:val="22"/>
      </w:rPr>
      <w:t>FACILITIES PIPING IDENTIFICATION</w:t>
    </w:r>
    <w:r>
      <w:rPr>
        <w:rFonts w:ascii="Calibri (Body)" w:hAnsi="Calibri (Body)"/>
        <w:sz w:val="22"/>
      </w:rPr>
      <w:tab/>
      <w:t>2020-06-05</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15075</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2020-06-05</w:t>
    </w:r>
    <w:r>
      <w:rPr>
        <w:rFonts w:ascii="Calibri (Body)" w:hAnsi="Calibri (Body)"/>
        <w:b w:val="1"/>
        <w:sz w:val="22"/>
      </w:rPr>
      <w:tab/>
    </w:r>
    <w:r>
      <w:rPr>
        <w:rFonts w:ascii="Calibri (Body)" w:hAnsi="Calibri (Body)"/>
        <w:b w:val="1"/>
        <w:sz w:val="22"/>
      </w:rPr>
      <w:t>FACILITIES PIPING IDENTIFICATION</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5D1EB44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666"/>
        <w:tabs>
          <w:tab w:val="left" w:pos="66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13345A0"/>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4FA0BAF"/>
    <w:multiLevelType w:val="multilevel"/>
    <w:lvl w:ilvl="0">
      <w:start w:val="1"/>
      <w:numFmt w:val="decimal"/>
      <w:suff w:val="tab"/>
      <w:lvlText w:val="%1."/>
      <w:lvlJc w:val="left"/>
      <w:pPr>
        <w:ind w:hanging="360" w:left="6480"/>
      </w:pPr>
      <w:rPr/>
    </w:lvl>
    <w:lvl w:ilvl="1">
      <w:start w:val="1"/>
      <w:numFmt w:val="lowerLetter"/>
      <w:suff w:val="tab"/>
      <w:lvlText w:val="%2."/>
      <w:lvlJc w:val="left"/>
      <w:pPr>
        <w:ind w:hanging="360" w:left="7200"/>
      </w:pPr>
      <w:rPr/>
    </w:lvl>
    <w:lvl w:ilvl="2">
      <w:start w:val="1"/>
      <w:numFmt w:val="lowerRoman"/>
      <w:suff w:val="tab"/>
      <w:lvlText w:val="%3."/>
      <w:lvlJc w:val="right"/>
      <w:pPr>
        <w:ind w:hanging="180" w:left="7920"/>
      </w:pPr>
      <w:rPr/>
    </w:lvl>
    <w:lvl w:ilvl="3">
      <w:start w:val="1"/>
      <w:numFmt w:val="decimal"/>
      <w:suff w:val="tab"/>
      <w:lvlText w:val="%4."/>
      <w:lvlJc w:val="left"/>
      <w:pPr>
        <w:ind w:hanging="360" w:left="8640"/>
      </w:pPr>
      <w:rPr/>
    </w:lvl>
    <w:lvl w:ilvl="4">
      <w:start w:val="1"/>
      <w:numFmt w:val="lowerLetter"/>
      <w:suff w:val="tab"/>
      <w:lvlText w:val="%5."/>
      <w:lvlJc w:val="left"/>
      <w:pPr>
        <w:ind w:hanging="360" w:left="9360"/>
      </w:pPr>
      <w:rPr/>
    </w:lvl>
    <w:lvl w:ilvl="5">
      <w:start w:val="1"/>
      <w:numFmt w:val="lowerRoman"/>
      <w:suff w:val="tab"/>
      <w:lvlText w:val="%6."/>
      <w:lvlJc w:val="right"/>
      <w:pPr>
        <w:ind w:hanging="180" w:left="10080"/>
      </w:pPr>
      <w:rPr/>
    </w:lvl>
    <w:lvl w:ilvl="6">
      <w:start w:val="1"/>
      <w:numFmt w:val="decimal"/>
      <w:suff w:val="tab"/>
      <w:lvlText w:val="%7."/>
      <w:lvlJc w:val="left"/>
      <w:pPr>
        <w:ind w:hanging="360" w:left="10800"/>
      </w:pPr>
      <w:rPr/>
    </w:lvl>
    <w:lvl w:ilvl="7">
      <w:start w:val="1"/>
      <w:numFmt w:val="lowerLetter"/>
      <w:suff w:val="tab"/>
      <w:lvlText w:val="%8."/>
      <w:lvlJc w:val="left"/>
      <w:pPr>
        <w:ind w:hanging="360" w:left="11520"/>
      </w:pPr>
      <w:rPr/>
    </w:lvl>
    <w:lvl w:ilvl="8">
      <w:start w:val="1"/>
      <w:numFmt w:val="lowerRoman"/>
      <w:suff w:val="tab"/>
      <w:lvlText w:val="%9."/>
      <w:lvlJc w:val="right"/>
      <w:pPr>
        <w:ind w:hanging="180" w:left="12240"/>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9"/>
  </w:num>
  <w:num w:numId="6">
    <w:abstractNumId w:val="2"/>
  </w:num>
  <w:num w:numId="7">
    <w:abstractNumId w:val="5"/>
  </w:num>
  <w:num w:numId="8">
    <w:abstractNumId w:val="1"/>
  </w:num>
  <w:num w:numId="9">
    <w:abstractNumId w:val="11"/>
  </w:num>
  <w:num w:numId="10">
    <w:abstractNumId w:val="4"/>
  </w:num>
  <w:num w:numId="11">
    <w:abstractNumId w:val="10"/>
  </w:num>
  <w:num w:numId="12">
    <w:abstractNumId w:val="7"/>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2"/>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link w:val="C9"/>
    <w:pPr>
      <w:spacing w:before="0"/>
    </w:pPr>
    <w:rPr>
      <w:rFonts w:ascii="Book Antiqua" w:hAnsi="Book Antiqua"/>
      <w:b w:val="1"/>
      <w:sz w:val="20"/>
    </w:rPr>
  </w:style>
  <w:style w:type="paragraph" w:styleId="P32">
    <w:name w:val="Caption"/>
    <w:basedOn w:val="P5"/>
    <w:next w:val="P0"/>
    <w:pPr>
      <w:keepNext w:val="1"/>
      <w:spacing w:after="6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Table Heading"/>
    <w:basedOn w:val="P20"/>
    <w:next w:val="P35"/>
    <w:pPr>
      <w:jc w:val="center"/>
    </w:pPr>
    <w:rPr>
      <w:b w:val="1"/>
    </w:rPr>
  </w:style>
  <w:style w:type="paragraph" w:styleId="P36">
    <w:name w:val="Heading 1"/>
    <w:aliases w:val="Heading 1S"/>
    <w:basedOn w:val="P24"/>
    <w:next w:val="P36"/>
    <w:link w:val="C13"/>
    <w:qFormat/>
    <w:pPr>
      <w:numPr>
        <w:numId w:val="30"/>
      </w:numPr>
      <w:outlineLvl w:val="0"/>
    </w:pPr>
    <w:rPr/>
  </w:style>
  <w:style w:type="paragraph" w:styleId="P37">
    <w:name w:val="Heading 2"/>
    <w:aliases w:val="Heading 2S"/>
    <w:basedOn w:val="P24"/>
    <w:next w:val="P0"/>
    <w:link w:val="C11"/>
    <w:qFormat/>
    <w:pPr>
      <w:numPr>
        <w:ilvl w:val="1"/>
        <w:numId w:val="30"/>
      </w:numPr>
      <w:outlineLvl w:val="1"/>
    </w:pPr>
    <w:rPr/>
  </w:style>
  <w:style w:type="paragraph" w:styleId="P38">
    <w:name w:val="Heading 3"/>
    <w:aliases w:val=" Char,Heading 3S,Heading 3 Char1,Heading 3 Char Char,Heading 3 Char1 Char Char,Heading 3 Char Char Char Char,Heading 3 Char1 Char1,Heading 3 Char Char Char1,Heading 3 Char Char1"/>
    <w:basedOn w:val="P24"/>
    <w:next w:val="P38"/>
    <w:link w:val="C7"/>
    <w:qFormat/>
    <w:pPr>
      <w:numPr>
        <w:ilvl w:val="2"/>
        <w:numId w:val="30"/>
      </w:numPr>
      <w:outlineLvl w:val="2"/>
    </w:pPr>
    <w:rPr/>
  </w:style>
  <w:style w:type="paragraph" w:styleId="P39">
    <w:name w:val="Heading 4"/>
    <w:aliases w:val="Heading 4S"/>
    <w:basedOn w:val="P24"/>
    <w:next w:val="P39"/>
    <w:link w:val="C14"/>
    <w:qFormat/>
    <w:pPr>
      <w:numPr>
        <w:ilvl w:val="3"/>
        <w:numId w:val="30"/>
      </w:numPr>
      <w:outlineLvl w:val="3"/>
    </w:pPr>
    <w:rPr/>
  </w:style>
  <w:style w:type="paragraph" w:styleId="P40">
    <w:name w:val="Heading 7"/>
    <w:basedOn w:val="P24"/>
    <w:next w:val="P0"/>
    <w:link w:val="C16"/>
    <w:qFormat/>
    <w:pPr>
      <w:numPr>
        <w:ilvl w:val="6"/>
        <w:numId w:val="30"/>
      </w:numPr>
      <w:outlineLvl w:val="6"/>
    </w:pPr>
    <w:rPr/>
  </w:style>
  <w:style w:type="paragraph" w:styleId="P41">
    <w:name w:val="List Bullet"/>
    <w:basedOn w:val="P25"/>
    <w:next w:val="P41"/>
    <w:pPr>
      <w:spacing w:after="0"/>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0"/>
    <w:qFormat/>
    <w:pPr>
      <w:numPr>
        <w:ilvl w:val="4"/>
        <w:numId w:val="30"/>
      </w:numPr>
      <w:outlineLvl w:val="4"/>
    </w:pPr>
    <w:rPr/>
  </w:style>
  <w:style w:type="paragraph" w:styleId="P47">
    <w:name w:val="Heading 8"/>
    <w:basedOn w:val="P40"/>
    <w:next w:val="P0"/>
    <w:link w:val="C17"/>
    <w:qFormat/>
    <w:pPr>
      <w:numPr>
        <w:ilvl w:val="7"/>
        <w:numId w:val="30"/>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5"/>
    <w:qFormat/>
    <w:pPr>
      <w:numPr>
        <w:ilvl w:val="5"/>
        <w:numId w:val="30"/>
      </w:numPr>
      <w:outlineLvl w:val="5"/>
    </w:pPr>
    <w:rPr/>
  </w:style>
  <w:style w:type="paragraph" w:styleId="P51">
    <w:name w:val="Heading 9"/>
    <w:basedOn w:val="P47"/>
    <w:next w:val="P0"/>
    <w:link w:val="C18"/>
    <w:qFormat/>
    <w:pPr>
      <w:numPr>
        <w:ilvl w:val="8"/>
        <w:numId w:val="27"/>
      </w:numPr>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Comment Text Char"/>
    <w:link w:val="P3"/>
    <w:rPr>
      <w:rFonts w:ascii="Arial" w:hAnsi="Arial"/>
    </w:rPr>
  </w:style>
  <w:style w:type="character" w:styleId="C9">
    <w:name w:val="Comment Subject Char"/>
    <w:link w:val="P31"/>
    <w:rPr>
      <w:rFonts w:ascii="Book Antiqua" w:hAnsi="Book Antiqua"/>
      <w:b w:val="1"/>
      <w:sz w:val="20"/>
    </w:rPr>
  </w:style>
  <w:style w:type="character" w:styleId="C10">
    <w:name w:val="Heading 5 Char"/>
    <w:link w:val="P46"/>
    <w:rPr/>
  </w:style>
  <w:style w:type="character" w:styleId="C11">
    <w:name w:val="Heading 2 Char"/>
    <w:link w:val="P37"/>
    <w:rPr/>
  </w:style>
  <w:style w:type="character" w:styleId="C12">
    <w:name w:val="Plain Text Char"/>
    <w:link w:val="P23"/>
    <w:rPr>
      <w:rFonts w:ascii="Courier New" w:hAnsi="Courier New"/>
      <w:sz w:val="20"/>
    </w:rPr>
  </w:style>
  <w:style w:type="character" w:styleId="C13">
    <w:name w:val="Heading 1 Char"/>
    <w:link w:val="P36"/>
    <w:rPr/>
  </w:style>
  <w:style w:type="character" w:styleId="C14">
    <w:name w:val="Heading 4 Char"/>
    <w:link w:val="P39"/>
    <w:rPr/>
  </w:style>
  <w:style w:type="character" w:styleId="C15">
    <w:name w:val="Heading 6 Char"/>
    <w:link w:val="P50"/>
    <w:rPr/>
  </w:style>
  <w:style w:type="character" w:styleId="C16">
    <w:name w:val="Heading 7 Char"/>
    <w:link w:val="P40"/>
    <w:rPr/>
  </w:style>
  <w:style w:type="character" w:styleId="C17">
    <w:name w:val="Heading 8 Char"/>
    <w:link w:val="P47"/>
    <w:rPr/>
  </w:style>
  <w:style w:type="character" w:styleId="C18">
    <w:name w:val="Heading 9 Char"/>
    <w:link w:val="P51"/>
    <w:rPr/>
  </w:style>
  <w:style w:type="character" w:styleId="C19">
    <w:name w:val="Title Char"/>
    <w:link w:val="P11"/>
    <w:rPr>
      <w:rFonts w:ascii="Arial Narrow" w:hAnsi="Arial Narrow"/>
      <w:b w:val="1"/>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image1" Type="http://schemas.openxmlformats.org/officeDocument/2006/relationships/image" Target="../media/image1.png"/><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2019-11-15T19:18:00Z</dcterms:created>
  <cp:lastModifiedBy>Ray</cp:lastModifiedBy>
  <cp:lastPrinted>2017-05-18T14:01:00Z</cp:lastPrinted>
  <dcterms:modified xsi:type="dcterms:W3CDTF">2022-10-04T19:39:02Z</dcterms:modified>
  <cp:revision>18</cp:revision>
  <dc:title>15100_Plumbing_Piping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0x0101001E76F5F51B06864FADA04BB3B6DF741B</vt:lpwstr>
  </property>
  <property fmtid="{D5CDD505-2E9C-101B-9397-08002B2CF9AE}" pid="4" name="_dlc_DocId">
    <vt:lpwstr>ENVCPD-95-3075</vt:lpwstr>
  </property>
  <property fmtid="{D5CDD505-2E9C-101B-9397-08002B2CF9AE}" pid="5" name="_dlc_DocIdItemGuid">
    <vt:lpwstr>e64682b6-bfff-41f7-ae37-fbe2a1e92b41</vt:lpwstr>
  </property>
  <property fmtid="{D5CDD505-2E9C-101B-9397-08002B2CF9AE}" pid="6" name="_dlc_DocIdUrl">
    <vt:lpwstr>https://mycloud.york.ca/projects/EnvServProgramDeliveryOffice/Design/_layouts/DocIdRedir.aspx?ID=ENVCPD-95-3075, ENVCPD-95-3075</vt:lpwstr>
  </property>
  <property fmtid="{D5CDD505-2E9C-101B-9397-08002B2CF9AE}" pid="7" name="Last Updated">
    <vt:lpwstr>2020-06-05T00:00:00Z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15 - Mechanical/15075 Facilities Piping Identification.doc</vt:lpwstr>
  </property>
  <property fmtid="{D5CDD505-2E9C-101B-9397-08002B2CF9AE}" pid="11" name="Order">
    <vt:lpwstr>307500.000000000</vt:lpwstr>
  </property>
  <property fmtid="{D5CDD505-2E9C-101B-9397-08002B2CF9AE}" pid="12" name="_SourceUrl">
    <vt:lpwstr/>
  </property>
  <property fmtid="{D5CDD505-2E9C-101B-9397-08002B2CF9AE}" pid="13" name="_SharedFileIndex">
    <vt:lpwstr/>
  </property>
</Properties>
</file>