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9EBA639" Type="http://schemas.openxmlformats.org/officeDocument/2006/relationships/officeDocument" Target="word/document.xml"/><Relationship Id="coreR9EBA639" Type="http://schemas.openxmlformats.org/package/2006/relationships/metadata/core-properties" Target="docProps/core.xml"/><Relationship Id="customR9EBA639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0" w:type="auto"/>
        <w:jc w:val="center"/>
        <w:tblLayout w:type="fixed"/>
      </w:tblPr>
      <w:tblGrid/>
      <w:tr>
        <w:trPr>
          <w:cantSplit/>
          <w:jc w:val="center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cantSplit/>
          <w:trHeight w:hRule="atLeast" w:val="65"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  <w:lang w:val="en-US"/>
              </w:rPr>
              <w:t>Updated, Finalized Specification – Reference eDOCS #5823656-v4 (AV)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</w:t>
            </w:r>
            <w:r>
              <w:rPr>
                <w:rFonts w:ascii="Calibri" w:hAnsi="Calibri"/>
                <w:sz w:val="22"/>
              </w:rPr>
              <w:t>ASTM A106/A106M-15, ASTM A193/A193M-16, ASTM A194/A194M-17, ASTM A307-14e1, ASTM A563-15 (AAM)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4,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 </w:t>
            </w:r>
            <w:r>
              <w:rPr>
                <w:rFonts w:ascii="Calibri" w:hAnsi="Calibri"/>
                <w:sz w:val="22"/>
              </w:rPr>
              <w:t>ASME B16.11-2016, ASTM A234/A234M-16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Removal of specified products (CPD PMO, OMM)</w:t>
            </w:r>
          </w:p>
        </w:tc>
      </w:tr>
    </w:tbl>
    <w:p>
      <w:pPr>
        <w:pStyle w:val="P1"/>
        <w:numPr>
          <w:ilvl w:val="0"/>
          <w:numId w:val="0"/>
        </w:numPr>
        <w:tabs>
          <w:tab w:val="left" w:pos="1080" w:leader="none"/>
        </w:tabs>
        <w:ind w:firstLine="0" w:left="0"/>
      </w:pPr>
    </w:p>
    <w:p>
      <w:pPr>
        <w:pStyle w:val="P10"/>
        <w:rPr>
          <w:rFonts w:ascii="Calibri" w:hAnsi="Calibri"/>
        </w:rPr>
      </w:pP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1"/>
        <w:numPr>
          <w:ilvl w:val="0"/>
          <w:numId w:val="0"/>
        </w:numPr>
        <w:tabs>
          <w:tab w:val="left" w:pos="1080" w:leader="none"/>
        </w:tabs>
        <w:ind w:firstLine="0" w:left="0"/>
      </w:pPr>
    </w:p>
    <w:p>
      <w:r>
        <w:br w:type="page"/>
      </w:r>
    </w:p>
    <w:tbl>
      <w:tblPr>
        <w:tblW w:w="0" w:type="auto"/>
        <w:jc w:val="center"/>
        <w:tblInd w:w="115" w:type="dxa"/>
        <w:tblLayout w:type="fixed"/>
        <w:tblCellMar>
          <w:left w:w="120" w:type="dxa"/>
          <w:right w:w="120" w:type="dxa"/>
        </w:tblCellMar>
      </w:tblPr>
      <w:tblGrid/>
      <w:tr>
        <w:trPr>
          <w:cantSplit/>
          <w:tblHeader/>
          <w:jc w:val="center"/>
        </w:trPr>
        <w:tc>
          <w:tcPr>
            <w:tcW w:w="163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2376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992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376" w:type="dxa"/>
            <w:tcBorders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steel, ASTM A106/A106M-15, Grade B seamless or ASTM A53/A53M-12, Grade B seamless or Electric Resistance Welding. Threaded, butt-welded, and flanged joints: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40 mm &amp; smaller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thru 250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40, except 100 mm and smaller in chlorine service; Schedule 80.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 thru 400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450 mm thru 600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socket-welded; flanged at equipment as required or shown on the Drawings.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socket-weld, forged carbon steel, ASTM A105/A105M-14, 900 kg- or 1,365 kg WOG (1,365 kg chlorine service), conforming to the requirements of ANSI/ASME B16.11-2016; bore to match pipe inside diameter.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Wrought carbon steel butt-welding, ASTM A234/A234M-16, Grade WPB meeting the requirements of ANSI/ASME B16.9-2012; fitting wall thickness to match adjoining pipe; long radius elbows unless shown otherwise on the Drawings.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Threadolet or socket in conformance with Fittings above.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tee in accordance with Fittings above.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A105/A105M-14, ANSI/ASME B16.5-2013 Class 150 or Class 300 socket-weld or threaded, 1.50 mm raised face.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A105/A105M-14, ASME B16.5-2013 Class 150 or Class 300 slip-on or welding neck, 1.50mm raised face; weld neck bore to match pipe internal diameter. Use weld neck flanges when abutting butt-weld fittings.</w:t>
            </w:r>
          </w:p>
        </w:tc>
      </w:tr>
      <w:tr>
        <w:trPr>
          <w:cantSplit/>
          <w:trHeight w:hRule="atLeast" w:val="1830"/>
          <w:jc w:val="center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2376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socket-weld, forged carbon steel, ASTM A105/A105M-14, 13,800 or 20,700 kPag WOG, integral ground steel-to-steel seats, Association of American Railroads (AAR) design meeting the requirements of ANSI/ASME B16.11-2016, bore to match pipe.</w:t>
            </w:r>
          </w:p>
        </w:tc>
      </w:tr>
      <w:tr>
        <w:trPr>
          <w:cantSplit/>
          <w:trHeight w:hRule="atLeast" w:val="109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Service: Threaded or socket-weld end ammonia type tongue-and-groove flange union, ASTM A105/A105M-14 forged carbon steel, 10,350 kPag two-bolt oval type.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A193/A193M-16, Grade B7 studs and ASTM A194/A194M-17, Grade 2H hex head nuts. Quench and temper for chlorine service.</w:t>
            </w:r>
          </w:p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 mating flange on equipment is cast iron and gasket is flat ring, provide ASTM A307-14e1, Grade B hex head bolts and ASTM A563-15, Grade A heavy hex nuts.</w:t>
            </w:r>
          </w:p>
        </w:tc>
      </w:tr>
      <w:tr>
        <w:trPr>
          <w:cantSplit/>
          <w:trHeight w:hRule="atLeast" w:val="2600"/>
          <w:jc w:val="center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376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 and Oil/Gas: 1.5 mm thick compressed non-asbestos composition flat ring type. Approved products:</w:t>
            </w:r>
          </w:p>
          <w:p>
            <w:pPr>
              <w:pStyle w:val="P46"/>
              <w:numPr>
                <w:ilvl w:val="0"/>
                <w:numId w:val="11"/>
              </w:numPr>
              <w:tabs>
                <w:tab w:val="left" w:pos="732" w:leader="none"/>
              </w:tabs>
              <w:rPr>
                <w:rFonts w:ascii="Calibri" w:hAnsi="Calibri"/>
                <w:sz w:val="22"/>
              </w:rPr>
            </w:pPr>
          </w:p>
        </w:tc>
      </w:tr>
      <w:tr>
        <w:trPr>
          <w:cantSplit/>
          <w:trHeight w:hRule="atLeast" w:val="272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Steam Service: Spiral wound, Type 304 stainless steel with non-asbestos filler, integral 3 mm thick carbon steel centering ring. Approved products:</w:t>
            </w:r>
          </w:p>
          <w:p>
            <w:pPr>
              <w:pStyle w:val="P46"/>
              <w:numPr>
                <w:ilvl w:val="0"/>
                <w:numId w:val="12"/>
              </w:numPr>
              <w:tabs>
                <w:tab w:val="left" w:pos="732" w:leader="none"/>
              </w:tabs>
              <w:rPr>
                <w:rFonts w:ascii="Calibri" w:hAnsi="Calibri"/>
                <w:sz w:val="22"/>
              </w:rPr>
            </w:pPr>
          </w:p>
        </w:tc>
      </w:tr>
      <w:tr>
        <w:trPr>
          <w:cantSplit/>
          <w:trHeight w:hRule="atLeast" w:val="56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Unions: Chemical lead, 2 to 4 percent antimony, 3 mm thick.</w:t>
            </w:r>
          </w:p>
        </w:tc>
      </w:tr>
      <w:tr>
        <w:trPr>
          <w:cantSplit/>
          <w:trHeight w:hRule="atLeast" w:val="440"/>
          <w:jc w:val="center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376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46"/>
              <w:keepNext w:val="1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Service: Teflon tape.</w:t>
            </w:r>
          </w:p>
        </w:tc>
      </w:tr>
      <w:tr>
        <w:trPr>
          <w:cantSplit/>
          <w:trHeight w:hRule="atLeast" w:val="61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Service: White lead paste or litharge and glycerine.</w:t>
            </w:r>
          </w:p>
        </w:tc>
      </w:tr>
    </w:tbl>
    <w:p/>
    <w:p>
      <w:pPr>
        <w:pStyle w:val="P44"/>
        <w:tabs>
          <w:tab w:val="left" w:pos="3170" w:leader="none"/>
          <w:tab w:val="center" w:pos="5400" w:leader="none"/>
        </w:tabs>
        <w:spacing w:before="240" w:beforeAutospacing="0" w:afterAutospacing="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ab/>
        <w:tab/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t>CONTRACT NO. [</w:t>
    </w:r>
    <w:r>
      <w:rPr>
        <w:highlight w:val="yellow"/>
      </w:rPr>
      <w:t>Insert Contract Number</w:t>
    </w:r>
    <w:r>
      <w:t>]</w:t>
      <w:tab/>
      <w:tab/>
      <w:t>Section 15200-02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rPr>
        <w:b w:val="1"/>
      </w:rPr>
      <w:tab/>
      <w:t>CARBON STEEL PIPE AND FITTINGS-SPECIAL SERVICE</w:t>
    </w:r>
    <w:r>
      <w:tab/>
      <w:t>2014-08-12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rPr>
        <w:rStyle w:val="C5"/>
        <w:caps w:val="1"/>
        <w:sz w:val="22"/>
      </w:rP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  <w:caps w:val="1"/>
        <w:sz w:val="22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  <w:caps w:val="1"/>
        <w:sz w:val="22"/>
      </w:rPr>
      <w:fldChar w:fldCharType="end"/>
    </w:r>
  </w:p>
  <w:p>
    <w:pPr>
      <w:pStyle w:val="P23"/>
      <w:spacing w:after="240" w:beforeAutospacing="0" w:afterAutospacing="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rPr>
        <w:rFonts w:ascii="Calibri (Body)" w:hAnsi="Calibri (Body)"/>
        <w:sz w:val="22"/>
      </w:rPr>
      <w:t>CONTRACT NO. SSTR4559</w:t>
      <w:tab/>
      <w:tab/>
      <w:t>Section 15200-02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rPr>
        <w:rFonts w:ascii="Calibri (Body)" w:hAnsi="Calibri (Body)"/>
        <w:b w:val="1"/>
        <w:sz w:val="22"/>
      </w:rPr>
      <w:tab/>
      <w:t>CARBON STEEL PIPE AND FITTINGS-SPECIAL SERVICE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23"/>
      <w:tabs>
        <w:tab w:val="center" w:pos="5220" w:leader="none"/>
        <w:tab w:val="right" w:pos="10800" w:leader="none"/>
      </w:tabs>
      <w:spacing w:after="240" w:beforeAutospacing="0" w:afterAutospacing="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rPr>
        <w:rFonts w:ascii="Calibri (Body)" w:hAnsi="Calibri (Body)"/>
        <w:sz w:val="22"/>
      </w:rPr>
      <w:t>Section 15200-02</w:t>
      <w:tab/>
      <w:tab/>
      <w:t>CONTRACT NO. SSTR4559</w:t>
      <w:tab/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rPr>
        <w:rFonts w:ascii="Calibri (Body)" w:hAnsi="Calibri (Body)"/>
        <w:sz w:val="22"/>
      </w:rPr>
      <w:t>2017-08-15</w:t>
    </w:r>
    <w:bookmarkStart w:id="0" w:name="_GoBack"/>
    <w:bookmarkEnd w:id="0"/>
    <w:r>
      <w:rPr>
        <w:rFonts w:ascii="Calibri (Body)" w:hAnsi="Calibri (Body)"/>
        <w:b w:val="1"/>
        <w:sz w:val="22"/>
      </w:rPr>
      <w:tab/>
      <w:t>CARBON STEEL PIPE AND FITTINGS-SPECIAL SERVICE</w:t>
    </w:r>
    <w:r>
      <w:rPr>
        <w:rFonts w:ascii="Calibri (Body)" w:hAnsi="Calibri (Body)"/>
        <w:sz w:val="22"/>
      </w:rPr>
      <w:tab/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23"/>
    </w:pPr>
  </w:p>
</w:hdr>
</file>

<file path=word/numbering.xml><?xml version="1.0" encoding="utf-8"?>
<w:numbering xmlns:w="http://schemas.openxmlformats.org/wordprocessingml/2006/main">
  <w:abstractNum w:abstractNumId="0">
    <w:nsid w:val="00000077"/>
    <w:multiLevelType w:val="hybridMultilevel"/>
    <w:lvl w:ilvl="0">
      <w:start w:val="1"/>
      <w:numFmt w:val="bullet"/>
      <w:pStyle w:val="P34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1B3EE667">
      <w:start w:val="1"/>
      <w:numFmt w:val="decimal"/>
      <w:suff w:val="tab"/>
      <w:lvlText w:val="%1."/>
      <w:lvlJc w:val="left"/>
      <w:pPr/>
      <w:rPr/>
    </w:lvl>
    <w:lvl w:ilvl="2" w:tplc="3BCD2DF8">
      <w:start w:val="1"/>
      <w:numFmt w:val="decimal"/>
      <w:suff w:val="tab"/>
      <w:lvlText w:val="%1."/>
      <w:lvlJc w:val="left"/>
      <w:pPr/>
      <w:rPr/>
    </w:lvl>
    <w:lvl w:ilvl="3" w:tplc="102A77A6">
      <w:start w:val="1"/>
      <w:numFmt w:val="decimal"/>
      <w:suff w:val="tab"/>
      <w:lvlText w:val="%1."/>
      <w:lvlJc w:val="left"/>
      <w:pPr/>
      <w:rPr/>
    </w:lvl>
    <w:lvl w:ilvl="4" w:tplc="187390E2">
      <w:start w:val="1"/>
      <w:numFmt w:val="decimal"/>
      <w:suff w:val="tab"/>
      <w:lvlText w:val="%1."/>
      <w:lvlJc w:val="left"/>
      <w:pPr/>
      <w:rPr/>
    </w:lvl>
    <w:lvl w:ilvl="5" w:tplc="0EBDFF14">
      <w:start w:val="1"/>
      <w:numFmt w:val="decimal"/>
      <w:suff w:val="tab"/>
      <w:lvlText w:val="%1."/>
      <w:lvlJc w:val="left"/>
      <w:pPr/>
      <w:rPr/>
    </w:lvl>
    <w:lvl w:ilvl="6" w:tplc="1C1F2E64">
      <w:start w:val="1"/>
      <w:numFmt w:val="decimal"/>
      <w:suff w:val="tab"/>
      <w:lvlText w:val="%1."/>
      <w:lvlJc w:val="left"/>
      <w:pPr/>
      <w:rPr/>
    </w:lvl>
    <w:lvl w:ilvl="7" w:tplc="7CBA056E">
      <w:start w:val="1"/>
      <w:numFmt w:val="decimal"/>
      <w:suff w:val="tab"/>
      <w:lvlText w:val="%1."/>
      <w:lvlJc w:val="left"/>
      <w:pPr/>
      <w:rPr/>
    </w:lvl>
    <w:lvl w:ilvl="8" w:tplc="3973D1AD">
      <w:start w:val="1"/>
      <w:numFmt w:val="decimal"/>
      <w:suff w:val="tab"/>
      <w:lvlText w:val="%1."/>
      <w:lvlJc w:val="left"/>
      <w:pPr/>
      <w:rPr/>
    </w:lvl>
  </w:abstractNum>
  <w:abstractNum w:abstractNumId="1">
    <w:nsid w:val="01B368D1"/>
    <w:multiLevelType w:val="hybridMultilevel"/>
    <w:lvl w:ilvl="0" w:tplc="1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1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1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1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1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1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5AA4E5D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pStyle w:val="P1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pStyle w:val="P2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pStyle w:val="P3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pStyle w:val="P4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pStyle w:val="P5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pStyle w:val="P6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pStyle w:val="P7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pStyle w:val="P8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49255DB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7126076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3"/>
  </w:num>
  <w:num w:numId="13">
    <w:abstractNumId w:val="9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en-CA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2"/>
    </w:rPr>
  </w:style>
  <w:style w:type="paragraph" w:styleId="P1">
    <w:name w:val="heading 1"/>
    <w:basedOn w:val="P50"/>
    <w:link w:val="C12"/>
    <w:qFormat/>
    <w:pPr>
      <w:numPr>
        <w:numId w:val="22"/>
      </w:numPr>
      <w:spacing w:before="160" w:beforeAutospacing="0" w:afterAutospacing="0"/>
      <w:outlineLvl w:val="0"/>
    </w:pPr>
    <w:rPr>
      <w:caps w:val="1"/>
    </w:rPr>
  </w:style>
  <w:style w:type="paragraph" w:styleId="P2">
    <w:name w:val="heading 2"/>
    <w:basedOn w:val="P50"/>
    <w:next w:val="P0"/>
    <w:link w:val="C13"/>
    <w:qFormat/>
    <w:pPr>
      <w:numPr>
        <w:ilvl w:val="1"/>
        <w:numId w:val="22"/>
      </w:numPr>
      <w:tabs>
        <w:tab w:val="clear" w:pos="720" w:leader="none"/>
      </w:tabs>
      <w:spacing w:before="80" w:beforeAutospacing="0" w:afterAutospacing="0"/>
      <w:ind w:hanging="330" w:left="330"/>
      <w:outlineLvl w:val="1"/>
    </w:pPr>
    <w:rPr>
      <w:u w:val="single"/>
    </w:rPr>
  </w:style>
  <w:style w:type="paragraph" w:styleId="P3">
    <w:name w:val="heading 3"/>
    <w:basedOn w:val="P50"/>
    <w:link w:val="C7"/>
    <w:qFormat/>
    <w:pPr>
      <w:numPr>
        <w:ilvl w:val="2"/>
        <w:numId w:val="22"/>
      </w:numPr>
      <w:tabs>
        <w:tab w:val="clear" w:pos="1350" w:leader="none"/>
      </w:tabs>
      <w:spacing w:before="80" w:beforeAutospacing="0" w:afterAutospacing="0"/>
      <w:ind w:hanging="446" w:left="460"/>
      <w:outlineLvl w:val="2"/>
    </w:pPr>
    <w:rPr/>
  </w:style>
  <w:style w:type="paragraph" w:styleId="P4">
    <w:name w:val="heading 4"/>
    <w:basedOn w:val="P50"/>
    <w:link w:val="C14"/>
    <w:qFormat/>
    <w:pPr>
      <w:numPr>
        <w:ilvl w:val="3"/>
        <w:numId w:val="22"/>
      </w:numPr>
      <w:tabs>
        <w:tab w:val="left" w:pos="822" w:leader="none"/>
        <w:tab w:val="clear" w:pos="2160" w:leader="none"/>
      </w:tabs>
      <w:ind w:hanging="360" w:left="822"/>
      <w:outlineLvl w:val="3"/>
    </w:pPr>
    <w:rPr/>
  </w:style>
  <w:style w:type="paragraph" w:styleId="P5">
    <w:name w:val="heading 5"/>
    <w:basedOn w:val="P4"/>
    <w:link w:val="C15"/>
    <w:qFormat/>
    <w:pPr>
      <w:numPr>
        <w:ilvl w:val="4"/>
      </w:numPr>
      <w:tabs>
        <w:tab w:val="clear" w:pos="2880" w:leader="none"/>
      </w:tabs>
      <w:ind w:hanging="540" w:left="1362"/>
      <w:outlineLvl w:val="4"/>
    </w:pPr>
    <w:rPr/>
  </w:style>
  <w:style w:type="paragraph" w:styleId="P6">
    <w:name w:val="heading 6"/>
    <w:basedOn w:val="P5"/>
    <w:next w:val="P0"/>
    <w:link w:val="C16"/>
    <w:qFormat/>
    <w:pPr>
      <w:numPr>
        <w:ilvl w:val="5"/>
      </w:numPr>
      <w:outlineLvl w:val="5"/>
    </w:pPr>
    <w:rPr/>
  </w:style>
  <w:style w:type="paragraph" w:styleId="P7">
    <w:name w:val="heading 7"/>
    <w:basedOn w:val="P50"/>
    <w:next w:val="P0"/>
    <w:link w:val="C17"/>
    <w:qFormat/>
    <w:pPr>
      <w:numPr>
        <w:ilvl w:val="6"/>
        <w:numId w:val="22"/>
      </w:numPr>
      <w:outlineLvl w:val="6"/>
    </w:pPr>
    <w:rPr>
      <w:sz w:val="20"/>
    </w:rPr>
  </w:style>
  <w:style w:type="paragraph" w:styleId="P8">
    <w:name w:val="heading 8"/>
    <w:basedOn w:val="P7"/>
    <w:next w:val="P0"/>
    <w:link w:val="C18"/>
    <w:qFormat/>
    <w:pPr>
      <w:numPr>
        <w:ilvl w:val="7"/>
      </w:numPr>
      <w:outlineLvl w:val="7"/>
    </w:pPr>
    <w:rPr/>
  </w:style>
  <w:style w:type="paragraph" w:styleId="P9">
    <w:name w:val="heading 9"/>
    <w:basedOn w:val="P8"/>
    <w:next w:val="P0"/>
    <w:link w:val="C19"/>
    <w:qFormat/>
    <w:pPr>
      <w:numPr>
        <w:numId w:val="0"/>
      </w:numPr>
      <w:tabs>
        <w:tab w:val="left" w:pos="5760" w:leader="none"/>
      </w:tabs>
      <w:ind w:hanging="720" w:left="5760"/>
      <w:outlineLvl w:val="8"/>
    </w:pPr>
    <w:rPr/>
  </w:style>
  <w:style w:type="paragraph" w:styleId="P10">
    <w:name w:val="Body Text"/>
    <w:basedOn w:val="P0"/>
    <w:pPr>
      <w:spacing w:after="160" w:beforeAutospacing="0" w:afterAutospacing="0"/>
    </w:pPr>
    <w:rPr>
      <w:rFonts w:ascii="Book Antiqua" w:hAnsi="Book Antiqua"/>
    </w:rPr>
  </w:style>
  <w:style w:type="paragraph" w:styleId="P11">
    <w:name w:val="Bullet"/>
    <w:basedOn w:val="P10"/>
    <w:next w:val="P10"/>
    <w:pPr/>
    <w:rPr/>
  </w:style>
  <w:style w:type="paragraph" w:styleId="P12">
    <w:name w:val="annotation text"/>
    <w:basedOn w:val="P0"/>
    <w:link w:val="C9"/>
    <w:semiHidden/>
    <w:pPr>
      <w:spacing w:before="120" w:beforeAutospacing="0" w:afterAutospacing="0"/>
    </w:pPr>
    <w:rPr>
      <w:rFonts w:ascii="Arial" w:hAnsi="Arial"/>
    </w:rPr>
  </w:style>
  <w:style w:type="paragraph" w:styleId="P13">
    <w:name w:val="CSA"/>
    <w:basedOn w:val="P10"/>
    <w:next w:val="P1"/>
    <w:pPr>
      <w:keepNext w:val="1"/>
      <w:spacing w:after="0" w:beforeAutospacing="0" w:afterAutospacing="0"/>
    </w:pPr>
    <w:rPr>
      <w:b w:val="1"/>
      <w:caps w:val="1"/>
      <w:sz w:val="20"/>
    </w:rPr>
  </w:style>
  <w:style w:type="paragraph" w:styleId="P14">
    <w:name w:val="Divider"/>
    <w:basedOn w:val="P0"/>
    <w:next w:val="P19"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spacing w:before="10800" w:beforeAutospacing="0" w:afterAutospacing="0"/>
      <w:jc w:val="right"/>
    </w:pPr>
    <w:rPr>
      <w:b w:val="1"/>
      <w:sz w:val="40"/>
    </w:rPr>
  </w:style>
  <w:style w:type="paragraph" w:styleId="P15">
    <w:name w:val="Main-Head"/>
    <w:basedOn w:val="P0"/>
    <w:next w:val="P10"/>
    <w:link w:val="C6"/>
    <w:pPr/>
    <w:rPr>
      <w:rFonts w:ascii="Arial Narrow" w:hAnsi="Arial Narrow"/>
      <w:b w:val="1"/>
    </w:rPr>
  </w:style>
  <w:style w:type="paragraph" w:styleId="P16">
    <w:name w:val="caption"/>
    <w:basedOn w:val="P15"/>
    <w:next w:val="P0"/>
    <w:pPr>
      <w:keepNext w:val="1"/>
      <w:spacing w:after="240" w:beforeAutospacing="0" w:afterAutospacing="0"/>
    </w:pPr>
    <w:rPr>
      <w:b w:val="0"/>
      <w:i w:val="1"/>
      <w:sz w:val="20"/>
    </w:rPr>
  </w:style>
  <w:style w:type="paragraph" w:styleId="P17">
    <w:name w:val="Exhibit--Number"/>
    <w:basedOn w:val="P15"/>
    <w:next w:val="P18"/>
    <w:pPr>
      <w:spacing w:before="160" w:beforeAutospacing="0" w:afterAutospacing="0"/>
    </w:pPr>
    <w:rPr>
      <w:caps w:val="1"/>
      <w:sz w:val="18"/>
    </w:rPr>
  </w:style>
  <w:style w:type="paragraph" w:styleId="P18">
    <w:name w:val="Exhibit--Title"/>
    <w:basedOn w:val="P17"/>
    <w:next w:val="P37"/>
    <w:pPr>
      <w:spacing w:before="0" w:beforeAutospacing="0" w:afterAutospacing="0"/>
    </w:pPr>
    <w:rPr>
      <w:b w:val="0"/>
      <w:caps w:val="0"/>
      <w:sz w:val="20"/>
    </w:rPr>
  </w:style>
  <w:style w:type="paragraph" w:styleId="P19">
    <w:name w:val="Block Text"/>
    <w:basedOn w:val="P0"/>
    <w:pPr>
      <w:spacing w:after="120" w:beforeAutospacing="0" w:afterAutospacing="0"/>
      <w:ind w:left="1440" w:right="1440"/>
    </w:pPr>
    <w:rPr/>
  </w:style>
  <w:style w:type="paragraph" w:styleId="P20">
    <w:name w:val="Contents"/>
    <w:basedOn w:val="P1"/>
    <w:next w:val="P10"/>
    <w:pPr/>
    <w:rPr/>
  </w:style>
  <w:style w:type="paragraph" w:styleId="P21">
    <w:name w:val="footer"/>
    <w:basedOn w:val="P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22">
    <w:name w:val="footnote text"/>
    <w:basedOn w:val="P10"/>
    <w:semiHidden/>
    <w:pPr>
      <w:spacing w:after="0" w:beforeAutospacing="0" w:afterAutospacing="0"/>
    </w:pPr>
    <w:rPr>
      <w:rFonts w:ascii="Arial" w:hAnsi="Arial"/>
      <w:sz w:val="16"/>
    </w:rPr>
  </w:style>
  <w:style w:type="paragraph" w:styleId="P23">
    <w:name w:val="header"/>
    <w:basedOn w:val="P0"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24">
    <w:name w:val="Normal Indent"/>
    <w:basedOn w:val="P0"/>
    <w:pPr>
      <w:ind w:left="360"/>
    </w:pPr>
    <w:rPr/>
  </w:style>
  <w:style w:type="paragraph" w:styleId="P25">
    <w:name w:val="Number"/>
    <w:basedOn w:val="P10"/>
    <w:next w:val="P10"/>
    <w:pPr>
      <w:spacing w:after="0" w:beforeAutospacing="0" w:afterAutospacing="0"/>
      <w:ind w:hanging="360" w:left="360"/>
    </w:pPr>
    <w:rPr/>
  </w:style>
  <w:style w:type="paragraph" w:styleId="P26">
    <w:name w:val="Table Head"/>
    <w:basedOn w:val="P0"/>
    <w:next w:val="P0"/>
    <w:pPr>
      <w:spacing w:before="80" w:after="80" w:beforeAutospacing="0" w:afterAutospacing="0"/>
      <w:jc w:val="center"/>
    </w:pPr>
    <w:rPr>
      <w:rFonts w:ascii="Arial" w:hAnsi="Arial"/>
      <w:b w:val="1"/>
      <w:sz w:val="18"/>
    </w:rPr>
  </w:style>
  <w:style w:type="paragraph" w:styleId="P27">
    <w:name w:val="Table Body"/>
    <w:basedOn w:val="P26"/>
    <w:pPr>
      <w:jc w:val="left"/>
    </w:pPr>
    <w:rPr>
      <w:b w:val="0"/>
    </w:rPr>
  </w:style>
  <w:style w:type="paragraph" w:styleId="P28">
    <w:name w:val="Table Notes"/>
    <w:basedOn w:val="P27"/>
    <w:pPr>
      <w:spacing w:after="320" w:beforeAutospacing="0" w:afterAutospacing="0"/>
    </w:pPr>
    <w:rPr/>
  </w:style>
  <w:style w:type="paragraph" w:styleId="P29">
    <w:name w:val="Tick"/>
    <w:basedOn w:val="P10"/>
    <w:next w:val="P10"/>
    <w:pPr>
      <w:spacing w:after="0" w:beforeAutospacing="0" w:afterAutospacing="0"/>
      <w:ind w:hanging="360" w:left="720"/>
    </w:pPr>
    <w:rPr/>
  </w:style>
  <w:style w:type="paragraph" w:styleId="P30">
    <w:name w:val="Title"/>
    <w:basedOn w:val="P0"/>
    <w:link w:val="C20"/>
    <w:qFormat/>
    <w:pPr>
      <w:keepNext w:val="1"/>
      <w:spacing w:before="160" w:after="30" w:beforeAutospacing="0" w:afterAutospacing="0"/>
    </w:pPr>
    <w:rPr>
      <w:rFonts w:ascii="Arial Narrow" w:hAnsi="Arial Narrow"/>
      <w:b w:val="1"/>
      <w:sz w:val="20"/>
    </w:rPr>
  </w:style>
  <w:style w:type="paragraph" w:styleId="P31">
    <w:name w:val="toc 1"/>
    <w:basedOn w:val="P10"/>
    <w:next w:val="P32"/>
    <w:semiHidden/>
    <w:pPr>
      <w:tabs>
        <w:tab w:val="right" w:pos="8640" w:leader="dot"/>
      </w:tabs>
      <w:spacing w:after="0" w:beforeAutospacing="0" w:afterAutospacing="0"/>
    </w:pPr>
    <w:rPr>
      <w:b w:val="1"/>
    </w:rPr>
  </w:style>
  <w:style w:type="paragraph" w:styleId="P32">
    <w:name w:val="toc 2"/>
    <w:basedOn w:val="P31"/>
    <w:next w:val="P33"/>
    <w:semiHidden/>
    <w:pPr>
      <w:tabs>
        <w:tab w:val="left" w:pos="1008" w:leader="none"/>
      </w:tabs>
      <w:ind w:left="720"/>
    </w:pPr>
    <w:rPr>
      <w:b w:val="0"/>
    </w:rPr>
  </w:style>
  <w:style w:type="paragraph" w:styleId="P33">
    <w:name w:val="toc 3"/>
    <w:basedOn w:val="P32"/>
    <w:semiHidden/>
    <w:pPr>
      <w:tabs>
        <w:tab w:val="clear" w:pos="1008" w:leader="none"/>
        <w:tab w:val="left" w:pos="1728" w:leader="none"/>
      </w:tabs>
      <w:ind w:left="1440"/>
    </w:pPr>
    <w:rPr/>
  </w:style>
  <w:style w:type="paragraph" w:styleId="P34">
    <w:name w:val="List Bullet"/>
    <w:basedOn w:val="P11"/>
    <w:pPr>
      <w:numPr>
        <w:numId w:val="2"/>
      </w:numPr>
    </w:pPr>
    <w:rPr/>
  </w:style>
  <w:style w:type="paragraph" w:styleId="P35">
    <w:name w:val="toc 4"/>
    <w:basedOn w:val="P33"/>
    <w:next w:val="P36"/>
    <w:semiHidden/>
    <w:pPr>
      <w:tabs>
        <w:tab w:val="left" w:pos="2880" w:leader="none"/>
      </w:tabs>
      <w:ind w:left="2160"/>
    </w:pPr>
    <w:rPr/>
  </w:style>
  <w:style w:type="paragraph" w:styleId="P36">
    <w:name w:val="toc 5"/>
    <w:basedOn w:val="P0"/>
    <w:next w:val="P0"/>
    <w:semiHidden/>
    <w:pPr>
      <w:ind w:left="880"/>
    </w:pPr>
    <w:rPr/>
  </w:style>
  <w:style w:type="paragraph" w:styleId="P37">
    <w:name w:val="Exhibit--Caption"/>
    <w:basedOn w:val="P18"/>
    <w:next w:val="P10"/>
    <w:pPr/>
    <w:rPr>
      <w:i w:val="1"/>
    </w:rPr>
  </w:style>
  <w:style w:type="paragraph" w:styleId="P38">
    <w:name w:val="Flysheet"/>
    <w:basedOn w:val="P0"/>
    <w:pPr>
      <w:jc w:val="right"/>
    </w:pPr>
    <w:rPr>
      <w:rFonts w:ascii="Arial Narrow" w:hAnsi="Arial Narrow"/>
      <w:b w:val="1"/>
      <w:sz w:val="28"/>
    </w:rPr>
  </w:style>
  <w:style w:type="paragraph" w:styleId="P39">
    <w:name w:val="Flysheet Cont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0">
    <w:name w:val="Flysheet Title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1">
    <w:name w:val="Table Flysheet"/>
    <w:basedOn w:val="P0"/>
    <w:pPr>
      <w:jc w:val="right"/>
    </w:pPr>
    <w:rPr>
      <w:rFonts w:ascii="Arial Narrow" w:hAnsi="Arial Narrow"/>
      <w:b w:val="1"/>
      <w:sz w:val="28"/>
    </w:rPr>
  </w:style>
  <w:style w:type="paragraph" w:styleId="P42">
    <w:name w:val="Table Flysheet Cont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3">
    <w:name w:val="Table Flysheet Title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4">
    <w:name w:val="Other"/>
    <w:basedOn w:val="P0"/>
    <w:pPr>
      <w:widowControl w:val="0"/>
    </w:pPr>
    <w:rPr>
      <w:rFonts w:ascii="Courier New" w:hAnsi="Courier New"/>
      <w:sz w:val="24"/>
    </w:rPr>
  </w:style>
  <w:style w:type="paragraph" w:styleId="P45">
    <w:name w:val="Table Heading"/>
    <w:basedOn w:val="P46"/>
    <w:pPr>
      <w:jc w:val="center"/>
    </w:pPr>
    <w:rPr>
      <w:b w:val="1"/>
    </w:rPr>
  </w:style>
  <w:style w:type="paragraph" w:styleId="P46">
    <w:name w:val="Table Text"/>
    <w:basedOn w:val="P0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 w:beforeAutospacing="0" w:afterAutospacing="0"/>
    </w:pPr>
    <w:rPr>
      <w:rFonts w:ascii="Times New Roman" w:hAnsi="Times New Roman"/>
      <w:sz w:val="24"/>
    </w:rPr>
  </w:style>
  <w:style w:type="paragraph" w:styleId="P47">
    <w:name w:val="Normal Table Text"/>
    <w:basedOn w:val="P0"/>
    <w:pPr>
      <w:widowControl w:val="0"/>
      <w:spacing w:before="60" w:after="60" w:beforeAutospacing="0" w:afterAutospacing="0"/>
    </w:pPr>
    <w:rPr>
      <w:rFonts w:ascii="Arial" w:hAnsi="Arial"/>
      <w:sz w:val="20"/>
      <w:lang w:val="en-GB"/>
    </w:rPr>
  </w:style>
  <w:style w:type="paragraph" w:styleId="P48">
    <w:name w:val="annotation subject"/>
    <w:basedOn w:val="P12"/>
    <w:next w:val="P12"/>
    <w:link w:val="C10"/>
    <w:pPr>
      <w:spacing w:before="0" w:beforeAutospacing="0" w:afterAutospacing="0"/>
    </w:pPr>
    <w:rPr>
      <w:rFonts w:ascii="Times New Roman" w:hAnsi="Times New Roman"/>
      <w:b w:val="1"/>
      <w:sz w:val="20"/>
    </w:rPr>
  </w:style>
  <w:style w:type="paragraph" w:styleId="P49">
    <w:name w:val="Balloon Text"/>
    <w:basedOn w:val="P0"/>
    <w:link w:val="C11"/>
    <w:pPr/>
    <w:rPr>
      <w:rFonts w:ascii="Tahoma" w:hAnsi="Tahoma"/>
      <w:sz w:val="16"/>
    </w:rPr>
  </w:style>
  <w:style w:type="paragraph" w:styleId="P50">
    <w:name w:val="List Paragraph"/>
    <w:basedOn w:val="P0"/>
    <w:qFormat/>
    <w:pPr>
      <w:ind w:left="720"/>
      <w:contextualSpacing w:val="1"/>
    </w:pPr>
    <w:rPr/>
  </w:style>
  <w:style w:type="paragraph" w:styleId="P51">
    <w:name w:val="Revision"/>
    <w:hidden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semiHidden/>
    <w:rPr>
      <w:rFonts w:ascii="Arial" w:hAnsi="Arial"/>
      <w:color w:val="FF0000"/>
      <w:sz w:val="20"/>
    </w:rPr>
  </w:style>
  <w:style w:type="character" w:styleId="C4">
    <w:name w:val="footnote reference"/>
    <w:semiHidden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15"/>
    <w:rPr>
      <w:rFonts w:ascii="Arial Narrow" w:hAnsi="Arial Narrow"/>
      <w:b w:val="1"/>
    </w:rPr>
  </w:style>
  <w:style w:type="character" w:styleId="C7">
    <w:name w:val="Heading 3 Char"/>
    <w:link w:val="P3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12"/>
    <w:semiHidden/>
    <w:rPr>
      <w:rFonts w:ascii="Arial" w:hAnsi="Arial"/>
    </w:rPr>
  </w:style>
  <w:style w:type="character" w:styleId="C10">
    <w:name w:val="Comment Subject Char"/>
    <w:link w:val="P48"/>
    <w:rPr>
      <w:rFonts w:ascii="Times New Roman" w:hAnsi="Times New Roman"/>
      <w:b w:val="1"/>
      <w:sz w:val="20"/>
    </w:rPr>
  </w:style>
  <w:style w:type="character" w:styleId="C11">
    <w:name w:val="Balloon Text Char"/>
    <w:link w:val="P49"/>
    <w:rPr>
      <w:rFonts w:ascii="Tahoma" w:hAnsi="Tahoma"/>
      <w:sz w:val="16"/>
    </w:rPr>
  </w:style>
  <w:style w:type="character" w:styleId="C12">
    <w:name w:val="Heading 1 Char"/>
    <w:link w:val="P1"/>
    <w:rPr>
      <w:caps w:val="1"/>
    </w:rPr>
  </w:style>
  <w:style w:type="character" w:styleId="C13">
    <w:name w:val="Heading 2 Char"/>
    <w:link w:val="P2"/>
    <w:rPr>
      <w:u w:val="single"/>
    </w:rPr>
  </w:style>
  <w:style w:type="character" w:styleId="C14">
    <w:name w:val="Heading 4 Char"/>
    <w:link w:val="P4"/>
    <w:rPr/>
  </w:style>
  <w:style w:type="character" w:styleId="C15">
    <w:name w:val="Heading 5 Char"/>
    <w:link w:val="P5"/>
    <w:rPr/>
  </w:style>
  <w:style w:type="character" w:styleId="C16">
    <w:name w:val="Heading 6 Char"/>
    <w:link w:val="P6"/>
    <w:rPr/>
  </w:style>
  <w:style w:type="character" w:styleId="C17">
    <w:name w:val="Heading 7 Char"/>
    <w:link w:val="P7"/>
    <w:rPr>
      <w:sz w:val="20"/>
    </w:rPr>
  </w:style>
  <w:style w:type="character" w:styleId="C18">
    <w:name w:val="Heading 8 Char"/>
    <w:link w:val="P8"/>
    <w:rPr/>
  </w:style>
  <w:style w:type="character" w:styleId="C19">
    <w:name w:val="Heading 9 Char"/>
    <w:link w:val="P9"/>
    <w:rPr/>
  </w:style>
  <w:style w:type="character" w:styleId="C20">
    <w:name w:val="Title Char"/>
    <w:link w:val="P3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2017-08-17T17:31:00Z</dcterms:created>
  <cp:lastModifiedBy>Ray</cp:lastModifiedBy>
  <cp:lastPrinted>2015-06-03T20:26:00Z</cp:lastPrinted>
  <dcterms:modified xsi:type="dcterms:W3CDTF">2022-10-04T19:39:02Z</dcterms:modified>
  <cp:revision>4</cp:revision>
  <dc:title>15200-02_Carbon_Steel_Pipe_And_Fittings-Special_Service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_dlc_DocId">
    <vt:lpwstr>77777-20-2749</vt:lpwstr>
  </property>
  <property fmtid="{D5CDD505-2E9C-101B-9397-08002B2CF9AE}" pid="4" name="_dlc_DocIdItemGuid">
    <vt:lpwstr>f9b2d97a-f25e-484e-8119-8d0c4b3eef6d</vt:lpwstr>
  </property>
  <property fmtid="{D5CDD505-2E9C-101B-9397-08002B2CF9AE}" pid="5" name="_dlc_DocIdUrl">
    <vt:lpwstr>https://mycloud.york.ca/collab/CPDToolKit/_layouts/DocIdRedir.aspx?ID=77777-20-2749, 77777-20-2749</vt:lpwstr>
  </property>
  <property fmtid="{D5CDD505-2E9C-101B-9397-08002B2CF9AE}" pid="6" name="ContentTypeId">
    <vt:lpwstr>0x0101002C8EB43B80798C4FB094C17ED1216626</vt:lpwstr>
  </property>
</Properties>
</file>