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F598C96" Type="http://schemas.openxmlformats.org/officeDocument/2006/relationships/officeDocument" Target="word/document.xml"/><Relationship Id="coreR6F598C96" Type="http://schemas.openxmlformats.org/package/2006/relationships/metadata/core-properties" Target="docProps/core.xml"/><Relationship Id="customR6F598C96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December 23,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review draft (AV).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#5823662-v4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Upgraded references to standards, ANSI/ASME B16.3-2016, ASME B16.5-2013, ANSI/ASME B16.21-2016, ASTM A106/A106M-15, ASTM A563-15, ASTM D1330-04(2015)e1, AWWA C606-15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specified products (CDP PMO, OMM)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63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4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368" w:type="dxa"/>
            <w:gridSpan w:val="2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48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368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Galvanized carbon steel, ASTM A106/A106M-15, Grade B seamless or ASTM A53/A53M-12, Grade B seamless or Electric Resistance Weld (ERW).</w:t>
            </w:r>
          </w:p>
        </w:tc>
      </w:tr>
      <w:tr>
        <w:trPr>
          <w:wAfter w:w="0" w:type="dxa"/>
          <w:trHeight w:hRule="atLeast" w:val="297"/>
        </w:trPr>
        <w:tc>
          <w:tcPr>
            <w:tcW w:w="163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992" w:type="dxa"/>
            <w:tcBorders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80.</w:t>
            </w:r>
          </w:p>
        </w:tc>
      </w:tr>
      <w:tr>
        <w:trPr>
          <w:wAfter w:w="0" w:type="dxa"/>
          <w:trHeight w:hRule="atLeast" w:val="260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to 150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40.</w:t>
            </w:r>
          </w:p>
        </w:tc>
      </w:tr>
      <w:tr>
        <w:trPr>
          <w:wAfter w:w="0" w:type="dxa"/>
          <w:trHeight w:hRule="atLeast" w:val="251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bottom w:val="dotted" w:sz="4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to 300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bottom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208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30.</w:t>
            </w:r>
          </w:p>
        </w:tc>
      </w:tr>
      <w:tr>
        <w:trPr>
          <w:wAfter w:w="0" w:type="dxa"/>
          <w:trHeight w:hRule="atLeast" w:val="350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dotted" w:sz="4" w:space="0" w:shadow="0" w:frame="0"/>
              <w:left w:val="single" w:sz="6" w:space="0" w:shadow="0" w:frame="0"/>
              <w:right w:val="dotted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350 mm</w:t>
            </w:r>
          </w:p>
        </w:tc>
        <w:tc>
          <w:tcPr>
            <w:tcW w:w="4992" w:type="dxa"/>
            <w:tcBorders>
              <w:top w:val="dotted" w:sz="4" w:space="0" w:shadow="0" w:frame="0"/>
              <w:left w:val="dotted" w:sz="4" w:space="0" w:shadow="0" w:frame="0"/>
              <w:right w:val="double" w:sz="6" w:space="0" w:shadow="0" w:frame="0"/>
            </w:tcBorders>
          </w:tcPr>
          <w:p>
            <w:pPr>
              <w:pStyle w:val="P25"/>
              <w:tabs>
                <w:tab w:val="left" w:pos="208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Standard weight.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4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valves and equipment, or grooved end meeting the requirements of AWWA C606-11.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 at valves and equipment, or grooved end meeting the requirements of AWWA C606-11.</w:t>
            </w:r>
          </w:p>
        </w:tc>
      </w:tr>
      <w:tr>
        <w:trPr>
          <w:wAfter w:w="0" w:type="dxa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Threaded: 1,035- or 2,070 kPag malleable iron, ASTM A197/A197M-00(2015) or ASTM A47/A47M-99(2014), dimensions in accordance with ANSI/ASME B16.3-2016.</w:t>
            </w:r>
          </w:p>
        </w:tc>
      </w:tr>
      <w:tr>
        <w:trPr>
          <w:wAfter w:w="0" w:type="dxa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Grooved End: Malleable iron ASTM A47/A47M-99(2014) or ductile iron ASTM A536-84(2014), 1,250 kPa working pressure, grooved ends to accept couplings without field preparation. Acceptable Manufacturers: Victaulic; Grinnell 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4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above, galvanized 910 kg WOG threadolet or welding boss; galvanize after welding.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right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Branch Same Size as Run: Grooved end tee in accordance with Fittings above. </w:t>
            </w:r>
          </w:p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One or More Sizes Smaller Than Run: grooved end reducing tee in accordance with Fittings above.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Galvanized forged carbon steel, ASTM A105/A105M-14, ASME B16.5-2013 Class 150 or Class 300, threaded, 1.5 mm raised face.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adapter flange, malleable iron ASTM A47/A47M-99(2014) or ductile iron ASTM A536-84(2014). Acceptable Manufacturers: Victaulic; Grinnell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malleable iron, ASTM A197/A197M-00(2011) or A47/A47M-99(2014), 2,070kPag WOG, brass to iron seat, meeting the requirements of ANSI/ASME B16.3-2016.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Couplings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End: Rigid joint malleable iron, ASTM A47/A47M-99(2014) or ductile iron, ASTM A536-84(2014), 1,750 kPa working pressure. Acceptable Manufacturers: Victaulic; Grinnell or Approved Equivalent.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5"/>
              <w:keepNext w:val="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Plugs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keepNext w:val="1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carbon steel, ASTM A181/A181M-14, Grade II, round head, threaded, galvanized.</w:t>
            </w:r>
          </w:p>
        </w:tc>
      </w:tr>
      <w:tr>
        <w:trPr>
          <w:wAfter w:w="0" w:type="dxa"/>
          <w:trHeight w:hRule="atLeast" w:val="570"/>
        </w:trPr>
        <w:tc>
          <w:tcPr>
            <w:tcW w:w="163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368" w:type="dxa"/>
            <w:gridSpan w:val="2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Couplings: Carbon steel, ASTM A183-14 bolts and nuts, 759,000 kPa minimum tensile strength.</w:t>
            </w:r>
          </w:p>
        </w:tc>
      </w:tr>
      <w:tr>
        <w:trPr>
          <w:wAfter w:w="0" w:type="dxa"/>
          <w:trHeight w:hRule="atLeast" w:val="500"/>
        </w:trPr>
        <w:tc>
          <w:tcPr>
            <w:tcW w:w="1632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7368" w:type="dxa"/>
            <w:gridSpan w:val="2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Flanges: Carbon steel ASTM A307-14, Grade A hex head bolts and ASTM A563-15, Grade A hex head nuts.</w:t>
            </w:r>
          </w:p>
        </w:tc>
      </w:tr>
      <w:tr>
        <w:trPr>
          <w:wAfter w:w="0" w:type="dxa"/>
        </w:trPr>
        <w:tc>
          <w:tcPr>
            <w:tcW w:w="1632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2376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992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3 mm thick, red rubber (SBR), hardness 80 (Shore A), rated to 93 degrees C, conforming to the requirements of ANSI/ASME B16.21-2016, AWWA C207-13, and ASTM D1330-04(2015)e1, Grades 1 and 2.</w:t>
            </w:r>
          </w:p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the entire inside face with gasket cemented to blind flange.</w:t>
            </w:r>
          </w:p>
        </w:tc>
      </w:tr>
      <w:tr>
        <w:trPr>
          <w:wAfter w:w="0" w:type="dxa"/>
        </w:trPr>
        <w:tc>
          <w:tcPr>
            <w:tcW w:w="163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376" w:type="dxa"/>
            <w:tcBorders>
              <w:left w:val="sing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couplings</w:t>
            </w:r>
          </w:p>
        </w:tc>
        <w:tc>
          <w:tcPr>
            <w:tcW w:w="4992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EPDM or chlorinated butyl in accordance with ASTM D2000-12 for water, and air to 110 degrees Celsius, dimensions conforming to the requirements of AWWA C606-15.</w:t>
            </w:r>
          </w:p>
        </w:tc>
      </w:tr>
      <w:tr>
        <w:trPr>
          <w:wAfter w:w="0" w:type="dxa"/>
        </w:trPr>
        <w:tc>
          <w:tcPr>
            <w:tcW w:w="163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2376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99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 or joint compound that is insoluble in water.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 xml:space="preserve">GALVANIZED STEEL PIPE AND MALLEABLE </w:t>
    </w:r>
    <w:r>
      <w:rPr>
        <w:rFonts w:ascii="Calibri" w:hAnsi="Calibri"/>
        <w:b w:val="1"/>
        <w:sz w:val="22"/>
      </w:rPr>
      <w:t xml:space="preserve">IRON </w:t>
    </w:r>
    <w:r>
      <w:rPr>
        <w:rFonts w:ascii="Calibri" w:hAnsi="Calibri"/>
        <w:b w:val="1"/>
        <w:sz w:val="22"/>
      </w:rPr>
      <w:t>FITTINGS</w:t>
    </w:r>
    <w:r>
      <w:rPr>
        <w:rFonts w:ascii="Calibri" w:hAnsi="Calibri"/>
        <w:sz w:val="22"/>
      </w:rPr>
      <w:tab/>
      <w:t>2014-12-23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GALVANIZED STEEL PIPE AND MALLEABLE IRON FITTINGS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15200-07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GALVANIZED STEEL PIPE AND MALLEABLE IRON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C2C7BC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Normal Table Text"/>
    <w:basedOn w:val="P0"/>
    <w:next w:val="P26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7">
    <w:name w:val="Balloon Text"/>
    <w:basedOn w:val="P0"/>
    <w:next w:val="P27"/>
    <w:link w:val="C9"/>
    <w:pPr/>
    <w:rPr>
      <w:rFonts w:ascii="Tahoma" w:hAnsi="Tahoma"/>
      <w:sz w:val="16"/>
    </w:rPr>
  </w:style>
  <w:style w:type="paragraph" w:styleId="P28">
    <w:name w:val="Bullet"/>
    <w:basedOn w:val="P4"/>
    <w:next w:val="P4"/>
    <w:pPr/>
    <w:rPr/>
  </w:style>
  <w:style w:type="paragraph" w:styleId="P29">
    <w:name w:val="CSA"/>
    <w:basedOn w:val="P4"/>
    <w:next w:val="P35"/>
    <w:pPr>
      <w:keepNext w:val="1"/>
      <w:spacing w:after="0"/>
    </w:pPr>
    <w:rPr>
      <w:b w:val="1"/>
      <w:caps w:val="1"/>
      <w:sz w:val="20"/>
    </w:rPr>
  </w:style>
  <w:style w:type="paragraph" w:styleId="P30">
    <w:name w:val="Footnote Text"/>
    <w:basedOn w:val="P4"/>
    <w:next w:val="P30"/>
    <w:pPr>
      <w:spacing w:after="0"/>
    </w:pPr>
    <w:rPr>
      <w:rFonts w:ascii="Arial" w:hAnsi="Arial"/>
      <w:sz w:val="16"/>
    </w:rPr>
  </w:style>
  <w:style w:type="paragraph" w:styleId="P31">
    <w:name w:val="Number"/>
    <w:basedOn w:val="P4"/>
    <w:next w:val="P4"/>
    <w:pPr>
      <w:spacing w:after="0"/>
      <w:ind w:hanging="360" w:left="360"/>
    </w:pPr>
    <w:rPr/>
  </w:style>
  <w:style w:type="paragraph" w:styleId="P32">
    <w:name w:val="Tick"/>
    <w:basedOn w:val="P4"/>
    <w:next w:val="P4"/>
    <w:pPr>
      <w:spacing w:after="0"/>
      <w:ind w:hanging="360" w:left="720"/>
    </w:pPr>
    <w:rPr/>
  </w:style>
  <w:style w:type="paragraph" w:styleId="P33">
    <w:name w:val="TOC 1"/>
    <w:basedOn w:val="P4"/>
    <w:next w:val="P50"/>
    <w:pPr>
      <w:tabs>
        <w:tab w:val="right" w:pos="8640" w:leader="dot"/>
      </w:tabs>
      <w:spacing w:after="0"/>
    </w:pPr>
    <w:rPr>
      <w:b w:val="1"/>
    </w:rPr>
  </w:style>
  <w:style w:type="paragraph" w:styleId="P34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5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6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7">
    <w:name w:val="Heading 3"/>
    <w:basedOn w:val="P7"/>
    <w:next w:val="P37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8">
    <w:name w:val="Heading 4"/>
    <w:basedOn w:val="P7"/>
    <w:next w:val="P38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9">
    <w:name w:val="Heading 5"/>
    <w:basedOn w:val="P7"/>
    <w:next w:val="P39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0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1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2">
    <w:name w:val="Exhibit--Number"/>
    <w:basedOn w:val="P7"/>
    <w:next w:val="P52"/>
    <w:pPr>
      <w:spacing w:before="160"/>
    </w:pPr>
    <w:rPr>
      <w:caps w:val="1"/>
      <w:sz w:val="18"/>
    </w:rPr>
  </w:style>
  <w:style w:type="paragraph" w:styleId="P43">
    <w:name w:val="Title"/>
    <w:basedOn w:val="P7"/>
    <w:next w:val="P43"/>
    <w:qFormat/>
    <w:pPr>
      <w:keepNext w:val="1"/>
      <w:spacing w:before="160" w:after="30"/>
    </w:pPr>
    <w:rPr>
      <w:sz w:val="20"/>
    </w:rPr>
  </w:style>
  <w:style w:type="paragraph" w:styleId="P44">
    <w:name w:val="Table Body"/>
    <w:basedOn w:val="P12"/>
    <w:next w:val="P44"/>
    <w:pPr>
      <w:jc w:val="left"/>
    </w:pPr>
    <w:rPr>
      <w:b w:val="0"/>
    </w:rPr>
  </w:style>
  <w:style w:type="paragraph" w:styleId="P45">
    <w:name w:val="Table Heading"/>
    <w:basedOn w:val="P21"/>
    <w:next w:val="P45"/>
    <w:pPr>
      <w:jc w:val="center"/>
    </w:pPr>
    <w:rPr>
      <w:b w:val="1"/>
    </w:rPr>
  </w:style>
  <w:style w:type="paragraph" w:styleId="P46">
    <w:name w:val="Table Heading2"/>
    <w:basedOn w:val="P21"/>
    <w:next w:val="P46"/>
    <w:pPr>
      <w:jc w:val="center"/>
    </w:pPr>
    <w:rPr>
      <w:b w:val="1"/>
    </w:rPr>
  </w:style>
  <w:style w:type="paragraph" w:styleId="P47">
    <w:name w:val="Table Heading4"/>
    <w:basedOn w:val="P21"/>
    <w:next w:val="P47"/>
    <w:pPr>
      <w:jc w:val="center"/>
    </w:pPr>
    <w:rPr>
      <w:b w:val="1"/>
    </w:rPr>
  </w:style>
  <w:style w:type="paragraph" w:styleId="P48">
    <w:name w:val="Table Heading5"/>
    <w:basedOn w:val="P21"/>
    <w:next w:val="P48"/>
    <w:pPr>
      <w:jc w:val="center"/>
    </w:pPr>
    <w:rPr>
      <w:b w:val="1"/>
    </w:rPr>
  </w:style>
  <w:style w:type="paragraph" w:styleId="P49">
    <w:name w:val="List Bullet"/>
    <w:basedOn w:val="P28"/>
    <w:next w:val="P49"/>
    <w:pPr>
      <w:numPr>
        <w:numId w:val="2"/>
      </w:numPr>
    </w:pPr>
    <w:rPr/>
  </w:style>
  <w:style w:type="paragraph" w:styleId="P50">
    <w:name w:val="TOC 2"/>
    <w:basedOn w:val="P33"/>
    <w:next w:val="P54"/>
    <w:pPr>
      <w:tabs>
        <w:tab w:val="left" w:pos="1008" w:leader="none"/>
      </w:tabs>
      <w:ind w:left="720"/>
    </w:pPr>
    <w:rPr>
      <w:b w:val="0"/>
    </w:rPr>
  </w:style>
  <w:style w:type="paragraph" w:styleId="P51">
    <w:name w:val="Contents"/>
    <w:basedOn w:val="P35"/>
    <w:next w:val="P4"/>
    <w:pPr/>
    <w:rPr/>
  </w:style>
  <w:style w:type="paragraph" w:styleId="P52">
    <w:name w:val="Exhibit--Title"/>
    <w:basedOn w:val="P42"/>
    <w:next w:val="P55"/>
    <w:pPr>
      <w:spacing w:before="0"/>
    </w:pPr>
    <w:rPr>
      <w:b w:val="1"/>
      <w:caps w:val="0"/>
      <w:sz w:val="20"/>
    </w:rPr>
  </w:style>
  <w:style w:type="paragraph" w:styleId="P53">
    <w:name w:val="Table Notes"/>
    <w:basedOn w:val="P44"/>
    <w:next w:val="P53"/>
    <w:pPr>
      <w:spacing w:after="320"/>
    </w:pPr>
    <w:rPr/>
  </w:style>
  <w:style w:type="paragraph" w:styleId="P54">
    <w:name w:val="TOC 3"/>
    <w:basedOn w:val="P50"/>
    <w:next w:val="P54"/>
    <w:pPr>
      <w:tabs>
        <w:tab w:val="clear" w:pos="1008" w:leader="none"/>
        <w:tab w:val="left" w:pos="1728" w:leader="none"/>
      </w:tabs>
      <w:ind w:left="1440"/>
    </w:pPr>
    <w:rPr/>
  </w:style>
  <w:style w:type="paragraph" w:styleId="P55">
    <w:name w:val="Exhibit--Caption"/>
    <w:basedOn w:val="P52"/>
    <w:next w:val="P4"/>
    <w:pPr/>
    <w:rPr>
      <w:i w:val="1"/>
    </w:rPr>
  </w:style>
  <w:style w:type="paragraph" w:styleId="P56">
    <w:name w:val="TOC 4"/>
    <w:basedOn w:val="P54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7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7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4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2017-08-17T17:50:00Z</dcterms:created>
  <cp:lastModifiedBy>Ray</cp:lastModifiedBy>
  <cp:lastPrinted>2006-06-22T13:57:00Z</cp:lastPrinted>
  <dcterms:modified xsi:type="dcterms:W3CDTF">2022-10-04T19:39:02Z</dcterms:modified>
  <cp:revision>3</cp:revision>
  <dc:title>15200-07_Galvanized_Steel_Pipe_And_Malleable_Iron_Fittings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ENVCPD-83-1407</vt:lpwstr>
  </property>
  <property fmtid="{D5CDD505-2E9C-101B-9397-08002B2CF9AE}" pid="5" name="_dlc_DocIdItemGuid">
    <vt:lpwstr>527f2ef4-710d-47b9-8a16-c5fb7f2f4370</vt:lpwstr>
  </property>
  <property fmtid="{D5CDD505-2E9C-101B-9397-08002B2CF9AE}" pid="6" name="_dlc_DocIdUrl">
    <vt:lpwstr>https://mycloud.york.ca/projects/EnvServProgramDeliveryOffice/ProjectServer/AEL/_layouts/DocIdRedir.aspx?ID=ENVCPD-83-1407, ENVCPD-83-1407</vt:lpwstr>
  </property>
  <property fmtid="{D5CDD505-2E9C-101B-9397-08002B2CF9AE}" pid="7" name="ContentTypeId">
    <vt:lpwstr>0x0101001E76F5F51B06864FADA04BB3B6DF741B</vt:lpwstr>
  </property>
</Properties>
</file>