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8FD1257" Type="http://schemas.openxmlformats.org/officeDocument/2006/relationships/officeDocument" Target="word/document.xml"/><Relationship Id="coreR28FD1257" Type="http://schemas.openxmlformats.org/package/2006/relationships/metadata/core-properties" Target="docProps/core.xml"/><Relationship Id="customR28FD1257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46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March 15, 2011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Minor change from Legal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16,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#5823663-v4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7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23,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7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Updated references to standards ASME B16.5-2013, ASME B16.11-2016, ASME B16.21-2016, ASTM A182/A182M-16a, ASTM A194/A194M-17, ASTM A240-16a, ASTM A307-14e1, ASTM A312/A312M-17, ASTM A320/A320M-17a, ASTM A563-15, ASTM A778-16, ASTM D1330-04(2015)e1 (AAM)</w:t>
            </w:r>
          </w:p>
        </w:tc>
      </w:tr>
    </w:tbl>
    <w:p>
      <w:pPr>
        <w:pStyle w:val="P3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4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6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2392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945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4573" w:type="dxa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5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945" w:type="dxa"/>
            <w:tcBorders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40S: ASTM A312/A312M-17, Type </w:t>
            </w:r>
            <w:r>
              <w:rPr>
                <w:rFonts w:ascii="Calibri" w:hAnsi="Calibri"/>
                <w:sz w:val="22"/>
                <w:highlight w:val="yellow"/>
              </w:rPr>
              <w:t>[304] [316]</w:t>
            </w:r>
            <w:r>
              <w:rPr>
                <w:rFonts w:ascii="Calibri" w:hAnsi="Calibri"/>
                <w:sz w:val="22"/>
              </w:rPr>
              <w:t xml:space="preserve"> seamless, pickled and passivated.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to 150 mm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10S: ASTM A778-16, “as-welded” grade, Type </w:t>
            </w:r>
            <w:r>
              <w:rPr>
                <w:rFonts w:ascii="Calibri" w:hAnsi="Calibri"/>
                <w:sz w:val="22"/>
                <w:highlight w:val="yellow"/>
              </w:rPr>
              <w:t>[304lL [316L].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200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Schedule 5S: ASTM A778-16, “as-welded” grade, Type </w:t>
            </w:r>
            <w:r>
              <w:rPr>
                <w:rFonts w:ascii="Calibri" w:hAnsi="Calibri"/>
                <w:sz w:val="22"/>
                <w:highlight w:val="yellow"/>
              </w:rPr>
              <w:t>[304lL [316L].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or flanged at equipment as required or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 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 or flanged at valves and equipment.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1,000 CWP, ASTM A182/A182M-16a, Grade </w:t>
            </w:r>
            <w:r>
              <w:rPr>
                <w:rFonts w:ascii="Calibri" w:hAnsi="Calibri"/>
                <w:sz w:val="22"/>
                <w:highlight w:val="yellow"/>
              </w:rPr>
              <w:t>[304lL [316L]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Butt-Welded: ASTM A774/A774M-14 Grade 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 xml:space="preserve"> conforming to MSS SP 43-2013, “as-welded” grade, pickled and passivated; fitting wall thickness to match adjoining pipe; long radius elbows unless otherwise shown on the Drawings.</w:t>
            </w:r>
          </w:p>
        </w:tc>
      </w:tr>
      <w:tr>
        <w:trPr>
          <w:wAfter w:w="0" w:type="dxa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Branch Connections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 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Tee or reducing tee in conformance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60 mm &amp; larger</w:t>
            </w: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Butt-welding tee or reducing tee in accordance with Fittings above.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Stainless Steel: ASTM A182/A182M-16a,Grade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>, ASME B16.5-2013Class 150 or Class 300, slip-on weld neck or raised face.</w:t>
            </w:r>
          </w:p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Carbon Steel: ASTM A216/A216M-16 Grade WCA, drilled, ASME B16.5-2013 Class 150 or Class 300 Van Stone Type with stainless steel stub ends, ASTM A240-16a Type </w:t>
            </w:r>
            <w:r>
              <w:rPr>
                <w:rFonts w:ascii="Calibri" w:hAnsi="Calibri"/>
                <w:sz w:val="22"/>
                <w:highlight w:val="yellow"/>
              </w:rPr>
              <w:t>[304lL] [316L]</w:t>
            </w:r>
            <w:r>
              <w:rPr>
                <w:rFonts w:ascii="Calibri" w:hAnsi="Calibri"/>
                <w:sz w:val="22"/>
              </w:rPr>
              <w:t xml:space="preserve"> “as-welded grade”, conforming to the requirements of MSS-SP43-2013, wall thickness same as pipe.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4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Unions</w:t>
            </w:r>
          </w:p>
        </w:tc>
        <w:tc>
          <w:tcPr>
            <w:tcW w:w="1945" w:type="dxa"/>
            <w:tcBorders>
              <w:top w:val="single" w:sz="4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Threaded Forged: ASTM A182/A182M-16a, Grade </w:t>
            </w:r>
            <w:r>
              <w:rPr>
                <w:rFonts w:ascii="Calibri" w:hAnsi="Calibri"/>
                <w:sz w:val="22"/>
                <w:highlight w:val="yellow"/>
              </w:rPr>
              <w:t>[304l] [316]</w:t>
            </w:r>
            <w:r>
              <w:rPr>
                <w:rFonts w:ascii="Calibri" w:hAnsi="Calibri"/>
                <w:sz w:val="22"/>
              </w:rPr>
              <w:t>, 13,800 or 20,700 kPag WOG, integral ground seats, Association of American Railroads (AAR) design meeting the requirements of ASME B16.11-2016, bore to match pipe.</w:t>
            </w:r>
          </w:p>
        </w:tc>
      </w:tr>
      <w:tr>
        <w:trPr>
          <w:wAfter w:w="0" w:type="dxa"/>
          <w:trHeight w:hRule="atLeast" w:val="1262"/>
        </w:trPr>
        <w:tc>
          <w:tcPr>
            <w:tcW w:w="2392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1945" w:type="dxa"/>
            <w:vMerge w:val="restart"/>
            <w:tcBorders>
              <w:top w:val="single" w:sz="6" w:space="0" w:shadow="0" w:frame="0"/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Forged Flanges: Type </w:t>
            </w:r>
            <w:r>
              <w:rPr>
                <w:rFonts w:ascii="Calibri" w:hAnsi="Calibri"/>
                <w:sz w:val="22"/>
                <w:highlight w:val="yellow"/>
              </w:rPr>
              <w:t>[304l] [316]</w:t>
            </w:r>
            <w:r>
              <w:rPr>
                <w:rFonts w:ascii="Calibri" w:hAnsi="Calibri"/>
                <w:sz w:val="22"/>
              </w:rPr>
              <w:t xml:space="preserve"> stainless steel, ASTM A320/A320M-17a Grade B8M hex head bolts and ASTM A194/A194M-17 Grade 8M hex head nuts.</w:t>
            </w:r>
          </w:p>
        </w:tc>
      </w:tr>
      <w:tr>
        <w:trPr>
          <w:wAfter w:w="0" w:type="dxa"/>
          <w:trHeight w:hRule="atLeast" w:val="1390"/>
        </w:trPr>
        <w:tc>
          <w:tcPr>
            <w:tcW w:w="2392" w:type="dxa"/>
            <w:vMerge w:val="continue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 Stone Flanges: Carbon steel ASTM A307-14e1 Grade B hex head bolts and ASTM A563-15 Grade A hex head nuts. Provide same on mating cast iron flange on valve or equipment with flat ring gasket.</w:t>
            </w:r>
          </w:p>
        </w:tc>
      </w:tr>
      <w:tr>
        <w:trPr>
          <w:wAfter w:w="0" w:type="dxa"/>
          <w:trHeight w:hRule="atLeast" w:val="1728"/>
        </w:trPr>
        <w:tc>
          <w:tcPr>
            <w:tcW w:w="2392" w:type="dxa"/>
            <w:vMerge w:val="restart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1945" w:type="dxa"/>
            <w:vMerge w:val="restart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All Flanges</w:t>
            </w:r>
          </w:p>
        </w:tc>
        <w:tc>
          <w:tcPr>
            <w:tcW w:w="4573" w:type="dxa"/>
            <w:tcBorders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Water and Sewage Service: 5 mm thick, unless otherwise specified on the Drawings, red rubber (SBR), hardness 80 (Shore A), rated to 93 degrees Celsius, conforming to ASME B16.21-2016, AWWA C207-13, and ASTM D1330-04(2015)e1, Grades 1 and 2.</w:t>
            </w:r>
          </w:p>
        </w:tc>
      </w:tr>
      <w:tr>
        <w:trPr>
          <w:wAfter w:w="0" w:type="dxa"/>
          <w:trHeight w:hRule="atLeast" w:val="1976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Flanged, Hot Air and Fuel Gas Service: 3 mm thick, unless otherwise specified on the Drawings, homogeneous black rubber (EPDM), hardness 60 (Shore A), rated to 150 degrees Celsius, conforming to the requirements of ASME B16.21-2016 and ASTM D1330-04(2015)e1 Steam Grade.</w:t>
            </w:r>
          </w:p>
        </w:tc>
      </w:tr>
      <w:tr>
        <w:trPr>
          <w:wAfter w:w="0" w:type="dxa"/>
          <w:trHeight w:hRule="atLeast" w:val="943"/>
        </w:trPr>
        <w:tc>
          <w:tcPr>
            <w:tcW w:w="2392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1945" w:type="dxa"/>
            <w:vMerge w:val="continue"/>
            <w:tcBorders>
              <w:left w:val="sing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</w:p>
        </w:tc>
        <w:tc>
          <w:tcPr>
            <w:tcW w:w="4573" w:type="dxa"/>
            <w:tcBorders>
              <w:top w:val="dashed" w:sz="4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Blind flanges shall be gasketed covering with entire inside face with gasket cemented to blind flange.</w:t>
            </w:r>
          </w:p>
        </w:tc>
      </w:tr>
      <w:tr>
        <w:trPr>
          <w:wAfter w:w="0" w:type="dxa"/>
        </w:trPr>
        <w:tc>
          <w:tcPr>
            <w:tcW w:w="2392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Thread Lubricant</w:t>
            </w:r>
          </w:p>
        </w:tc>
        <w:tc>
          <w:tcPr>
            <w:tcW w:w="1945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50 mm &amp; smaller</w:t>
            </w:r>
          </w:p>
        </w:tc>
        <w:tc>
          <w:tcPr>
            <w:tcW w:w="457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26"/>
              <w:spacing w:before="60" w:after="6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Teflon tape.</w:t>
            </w:r>
          </w:p>
        </w:tc>
      </w:tr>
    </w:tbl>
    <w:p>
      <w:pPr>
        <w:pStyle w:val="P20"/>
        <w:spacing w:before="60" w:after="6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CONTRACT NO</w:t>
    </w:r>
    <w:r>
      <w:rPr>
        <w:rFonts w:ascii="Calibri" w:hAnsi="Calibri"/>
        <w:sz w:val="22"/>
        <w:highlight w:val="lightGray"/>
      </w:rPr>
      <w:t>.... [Insert Region Number]</w:t>
    </w:r>
    <w:r>
      <w:rPr>
        <w:rFonts w:ascii="Calibri" w:hAnsi="Calibri"/>
        <w:sz w:val="22"/>
      </w:rPr>
      <w:tab/>
      <w:tab/>
      <w:t>Section 15200-08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STAINLESS STEEL PIPE AND FITTINGS-GENERAL SERVICE</w:t>
    </w:r>
    <w:r>
      <w:rPr>
        <w:rFonts w:ascii="Calibri" w:hAnsi="Calibri"/>
        <w:sz w:val="22"/>
      </w:rPr>
      <w:tab/>
    </w:r>
    <w:r>
      <w:rPr>
        <w:rFonts w:ascii="Calibri" w:hAnsi="Calibri"/>
      </w:rPr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lightGray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0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15200-08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left" w:pos="9663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b w:val="1"/>
        <w:sz w:val="22"/>
      </w:rPr>
      <w:tab/>
      <w:t>STAINLESS STEEL PIPE AND FITTINGS-GENERAL SERVICE</w:t>
    </w:r>
    <w:r>
      <w:rPr>
        <w:rFonts w:ascii="Calibri (Body)" w:hAnsi="Calibri (Body)"/>
        <w:sz w:val="22"/>
      </w:rPr>
      <w:tab/>
      <w:tab/>
      <w:t>2017-05-23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10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CONTRACT NO. SSTR4559</w:t>
      <w:tab/>
      <w:tab/>
      <w:t>Section 15200-08</w:t>
      <w:tab/>
      <w:tab/>
      <w:tab/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left" w:pos="9663" w:leader="none"/>
        <w:tab w:val="right" w:pos="10800" w:leader="none"/>
      </w:tabs>
      <w:rPr>
        <w:rFonts w:ascii="Calibri" w:hAnsi="Calibri"/>
        <w:sz w:val="22"/>
      </w:rPr>
    </w:pPr>
    <w:r>
      <w:rPr>
        <w:rFonts w:ascii="Calibri (Body)" w:hAnsi="Calibri (Body)"/>
        <w:sz w:val="22"/>
      </w:rPr>
      <w:t>2017-05-23</w:t>
    </w:r>
    <w:r>
      <w:rPr>
        <w:rFonts w:ascii="Calibri (Body)" w:hAnsi="Calibri (Body)"/>
        <w:b w:val="1"/>
        <w:sz w:val="22"/>
      </w:rPr>
      <w:tab/>
      <w:t>STAINLESS STEEL PIPE AND FITTINGS-GENERAL SERVICE</w:t>
    </w:r>
    <w:r>
      <w:rPr>
        <w:rFonts w:ascii="Calibri (Body)" w:hAnsi="Calibri (Body)"/>
        <w:sz w:val="22"/>
      </w:rPr>
      <w:tab/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800" w:leader="none"/>
      </w:tabs>
      <w:jc w:val="left"/>
      <w:rPr>
        <w:rFonts w:ascii="Calibri" w:hAnsi="Calibri"/>
        <w:sz w:val="22"/>
      </w:rPr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10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0167B13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1"/>
  </w:num>
  <w:num w:numId="9">
    <w:abstractNumId w:val="8"/>
  </w:num>
  <w:num w:numId="10">
    <w:abstractNumId w:val="4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2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3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4">
    <w:name w:val="Body Text"/>
    <w:basedOn w:val="P0"/>
    <w:next w:val="P4"/>
    <w:pPr>
      <w:spacing w:after="160"/>
    </w:pPr>
    <w:rPr>
      <w:rFonts w:ascii="Book Antiqua" w:hAnsi="Book Antiqua"/>
      <w:sz w:val="22"/>
    </w:rPr>
  </w:style>
  <w:style w:type="paragraph" w:styleId="P5">
    <w:name w:val="Comment Text"/>
    <w:basedOn w:val="P0"/>
    <w:next w:val="P5"/>
    <w:link w:val="C9"/>
    <w:pPr>
      <w:spacing w:before="120"/>
    </w:pPr>
    <w:rPr>
      <w:rFonts w:ascii="Arial" w:hAnsi="Arial"/>
    </w:rPr>
  </w:style>
  <w:style w:type="paragraph" w:styleId="P6">
    <w:name w:val="Divider"/>
    <w:basedOn w:val="P0"/>
    <w:next w:val="P8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7">
    <w:name w:val="Main-Head"/>
    <w:basedOn w:val="P0"/>
    <w:next w:val="P4"/>
    <w:link w:val="C6"/>
    <w:pPr/>
    <w:rPr>
      <w:rFonts w:ascii="Arial Narrow" w:hAnsi="Arial Narrow"/>
      <w:b w:val="1"/>
      <w:sz w:val="22"/>
    </w:rPr>
  </w:style>
  <w:style w:type="paragraph" w:styleId="P8">
    <w:name w:val="Block Text"/>
    <w:basedOn w:val="P0"/>
    <w:next w:val="P8"/>
    <w:pPr>
      <w:spacing w:after="120"/>
      <w:ind w:left="1440" w:right="1440"/>
    </w:pPr>
    <w:rPr/>
  </w:style>
  <w:style w:type="paragraph" w:styleId="P9">
    <w:name w:val="Footer"/>
    <w:basedOn w:val="P0"/>
    <w:next w:val="P9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0">
    <w:name w:val="Header"/>
    <w:basedOn w:val="P0"/>
    <w:next w:val="P10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1">
    <w:name w:val="Normal Indent"/>
    <w:basedOn w:val="P0"/>
    <w:next w:val="P11"/>
    <w:pPr>
      <w:ind w:left="360"/>
    </w:pPr>
    <w:rPr/>
  </w:style>
  <w:style w:type="paragraph" w:styleId="P12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3">
    <w:name w:val="TOC 5"/>
    <w:basedOn w:val="P0"/>
    <w:next w:val="P0"/>
    <w:pPr>
      <w:ind w:left="880"/>
    </w:pPr>
    <w:rPr/>
  </w:style>
  <w:style w:type="paragraph" w:styleId="P14">
    <w:name w:val="Flysheet"/>
    <w:basedOn w:val="P0"/>
    <w:next w:val="P14"/>
    <w:pPr>
      <w:jc w:val="right"/>
    </w:pPr>
    <w:rPr>
      <w:rFonts w:ascii="Arial Narrow" w:hAnsi="Arial Narrow"/>
      <w:b w:val="1"/>
      <w:sz w:val="28"/>
    </w:rPr>
  </w:style>
  <w:style w:type="paragraph" w:styleId="P15">
    <w:name w:val="Flysheet Cont"/>
    <w:basedOn w:val="P0"/>
    <w:next w:val="P15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6">
    <w:name w:val="Flysheet Title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"/>
    <w:basedOn w:val="P0"/>
    <w:next w:val="P17"/>
    <w:pPr>
      <w:jc w:val="right"/>
    </w:pPr>
    <w:rPr>
      <w:rFonts w:ascii="Arial Narrow" w:hAnsi="Arial Narrow"/>
      <w:b w:val="1"/>
      <w:sz w:val="28"/>
    </w:rPr>
  </w:style>
  <w:style w:type="paragraph" w:styleId="P18">
    <w:name w:val="Table Flysheet Cont"/>
    <w:basedOn w:val="P0"/>
    <w:next w:val="P18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9">
    <w:name w:val="Table Flysheet Title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Other"/>
    <w:basedOn w:val="P0"/>
    <w:next w:val="P20"/>
    <w:pPr>
      <w:widowControl w:val="0"/>
    </w:pPr>
    <w:rPr>
      <w:rFonts w:ascii="Courier New" w:hAnsi="Courier New"/>
      <w:sz w:val="24"/>
    </w:rPr>
  </w:style>
  <w:style w:type="paragraph" w:styleId="P21">
    <w:name w:val="Table Text"/>
    <w:basedOn w:val="P0"/>
    <w:next w:val="P21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2">
    <w:name w:val="Table Text1"/>
    <w:basedOn w:val="P0"/>
    <w:next w:val="P22"/>
    <w:pPr>
      <w:spacing w:before="120"/>
    </w:pPr>
    <w:rPr/>
  </w:style>
  <w:style w:type="paragraph" w:styleId="P23">
    <w:name w:val="Table Text2"/>
    <w:basedOn w:val="P0"/>
    <w:next w:val="P23"/>
    <w:pPr>
      <w:spacing w:before="120"/>
    </w:pPr>
    <w:rPr/>
  </w:style>
  <w:style w:type="paragraph" w:styleId="P24">
    <w:name w:val="Table Text4"/>
    <w:basedOn w:val="P0"/>
    <w:next w:val="P24"/>
    <w:pPr>
      <w:spacing w:before="120"/>
    </w:pPr>
    <w:rPr/>
  </w:style>
  <w:style w:type="paragraph" w:styleId="P25">
    <w:name w:val="Table Text5"/>
    <w:basedOn w:val="P0"/>
    <w:next w:val="P25"/>
    <w:pPr>
      <w:spacing w:before="120"/>
    </w:pPr>
    <w:rPr/>
  </w:style>
  <w:style w:type="paragraph" w:styleId="P26">
    <w:name w:val="Table Text6"/>
    <w:basedOn w:val="P0"/>
    <w:next w:val="P26"/>
    <w:pPr>
      <w:spacing w:before="120"/>
    </w:pPr>
    <w:rPr/>
  </w:style>
  <w:style w:type="paragraph" w:styleId="P27">
    <w:name w:val="Normal Table Text"/>
    <w:basedOn w:val="P0"/>
    <w:next w:val="P27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28">
    <w:name w:val="Balloon Text"/>
    <w:basedOn w:val="P0"/>
    <w:next w:val="P28"/>
    <w:pPr/>
    <w:rPr>
      <w:rFonts w:ascii="Tahoma" w:hAnsi="Tahoma"/>
      <w:sz w:val="16"/>
    </w:rPr>
  </w:style>
  <w:style w:type="paragraph" w:styleId="P29">
    <w:name w:val="Bullet"/>
    <w:basedOn w:val="P4"/>
    <w:next w:val="P4"/>
    <w:pPr/>
    <w:rPr/>
  </w:style>
  <w:style w:type="paragraph" w:styleId="P30">
    <w:name w:val="CSA"/>
    <w:basedOn w:val="P4"/>
    <w:next w:val="P36"/>
    <w:pPr>
      <w:keepNext w:val="1"/>
      <w:spacing w:after="0"/>
    </w:pPr>
    <w:rPr>
      <w:b w:val="1"/>
      <w:caps w:val="1"/>
      <w:sz w:val="20"/>
    </w:rPr>
  </w:style>
  <w:style w:type="paragraph" w:styleId="P31">
    <w:name w:val="Footnote Text"/>
    <w:basedOn w:val="P4"/>
    <w:next w:val="P31"/>
    <w:pPr>
      <w:spacing w:after="0"/>
    </w:pPr>
    <w:rPr>
      <w:rFonts w:ascii="Arial" w:hAnsi="Arial"/>
      <w:sz w:val="16"/>
    </w:rPr>
  </w:style>
  <w:style w:type="paragraph" w:styleId="P32">
    <w:name w:val="Number"/>
    <w:basedOn w:val="P4"/>
    <w:next w:val="P4"/>
    <w:pPr>
      <w:spacing w:after="0"/>
      <w:ind w:hanging="360" w:left="360"/>
    </w:pPr>
    <w:rPr/>
  </w:style>
  <w:style w:type="paragraph" w:styleId="P33">
    <w:name w:val="Tick"/>
    <w:basedOn w:val="P4"/>
    <w:next w:val="P4"/>
    <w:pPr>
      <w:spacing w:after="0"/>
      <w:ind w:hanging="360" w:left="720"/>
    </w:pPr>
    <w:rPr/>
  </w:style>
  <w:style w:type="paragraph" w:styleId="P34">
    <w:name w:val="TOC 1"/>
    <w:basedOn w:val="P4"/>
    <w:next w:val="P52"/>
    <w:pPr>
      <w:tabs>
        <w:tab w:val="right" w:pos="8640" w:leader="dot"/>
      </w:tabs>
      <w:spacing w:after="0"/>
    </w:pPr>
    <w:rPr>
      <w:b w:val="1"/>
    </w:rPr>
  </w:style>
  <w:style w:type="paragraph" w:styleId="P35">
    <w:name w:val="Comment Subject"/>
    <w:basedOn w:val="P5"/>
    <w:next w:val="P5"/>
    <w:link w:val="C10"/>
    <w:pPr>
      <w:spacing w:before="0"/>
    </w:pPr>
    <w:rPr>
      <w:rFonts w:ascii="Times New Roman" w:hAnsi="Times New Roman"/>
      <w:b w:val="1"/>
      <w:sz w:val="20"/>
    </w:rPr>
  </w:style>
  <w:style w:type="paragraph" w:styleId="P36">
    <w:name w:val="Heading 1"/>
    <w:basedOn w:val="P7"/>
    <w:next w:val="P4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37">
    <w:name w:val="Heading 2"/>
    <w:basedOn w:val="P7"/>
    <w:next w:val="P4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38">
    <w:name w:val="Heading 3"/>
    <w:basedOn w:val="P7"/>
    <w:next w:val="P38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39">
    <w:name w:val="Heading 4"/>
    <w:basedOn w:val="P7"/>
    <w:next w:val="P39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0">
    <w:name w:val="Heading 5"/>
    <w:basedOn w:val="P7"/>
    <w:next w:val="P40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1">
    <w:name w:val="Heading 6"/>
    <w:basedOn w:val="P7"/>
    <w:next w:val="P4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2">
    <w:name w:val="Caption"/>
    <w:basedOn w:val="P7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3">
    <w:name w:val="Exhibit--Number"/>
    <w:basedOn w:val="P7"/>
    <w:next w:val="P54"/>
    <w:pPr>
      <w:spacing w:before="160"/>
    </w:pPr>
    <w:rPr>
      <w:caps w:val="1"/>
      <w:sz w:val="18"/>
    </w:rPr>
  </w:style>
  <w:style w:type="paragraph" w:styleId="P44">
    <w:name w:val="Title"/>
    <w:basedOn w:val="P7"/>
    <w:next w:val="P44"/>
    <w:qFormat/>
    <w:pPr>
      <w:keepNext w:val="1"/>
      <w:spacing w:before="160" w:after="30"/>
    </w:pPr>
    <w:rPr>
      <w:sz w:val="20"/>
    </w:rPr>
  </w:style>
  <w:style w:type="paragraph" w:styleId="P45">
    <w:name w:val="Table Body"/>
    <w:basedOn w:val="P12"/>
    <w:next w:val="P45"/>
    <w:pPr>
      <w:jc w:val="left"/>
    </w:pPr>
    <w:rPr>
      <w:b w:val="0"/>
    </w:rPr>
  </w:style>
  <w:style w:type="paragraph" w:styleId="P46">
    <w:name w:val="Table Heading"/>
    <w:basedOn w:val="P21"/>
    <w:next w:val="P46"/>
    <w:pPr>
      <w:jc w:val="center"/>
    </w:pPr>
    <w:rPr>
      <w:b w:val="1"/>
    </w:rPr>
  </w:style>
  <w:style w:type="paragraph" w:styleId="P47">
    <w:name w:val="Table Heading2"/>
    <w:basedOn w:val="P21"/>
    <w:next w:val="P47"/>
    <w:pPr>
      <w:jc w:val="center"/>
    </w:pPr>
    <w:rPr>
      <w:b w:val="1"/>
    </w:rPr>
  </w:style>
  <w:style w:type="paragraph" w:styleId="P48">
    <w:name w:val="Table Heading4"/>
    <w:basedOn w:val="P21"/>
    <w:next w:val="P48"/>
    <w:pPr>
      <w:jc w:val="center"/>
    </w:pPr>
    <w:rPr>
      <w:b w:val="1"/>
    </w:rPr>
  </w:style>
  <w:style w:type="paragraph" w:styleId="P49">
    <w:name w:val="Table Heading5"/>
    <w:basedOn w:val="P21"/>
    <w:next w:val="P49"/>
    <w:pPr>
      <w:jc w:val="center"/>
    </w:pPr>
    <w:rPr>
      <w:b w:val="1"/>
    </w:rPr>
  </w:style>
  <w:style w:type="paragraph" w:styleId="P50">
    <w:name w:val="Table Heading6"/>
    <w:basedOn w:val="P21"/>
    <w:next w:val="P50"/>
    <w:pPr>
      <w:jc w:val="center"/>
    </w:pPr>
    <w:rPr>
      <w:b w:val="1"/>
    </w:rPr>
  </w:style>
  <w:style w:type="paragraph" w:styleId="P51">
    <w:name w:val="List Bullet"/>
    <w:basedOn w:val="P29"/>
    <w:next w:val="P51"/>
    <w:pPr>
      <w:numPr>
        <w:numId w:val="2"/>
      </w:numPr>
    </w:pPr>
    <w:rPr/>
  </w:style>
  <w:style w:type="paragraph" w:styleId="P52">
    <w:name w:val="TOC 2"/>
    <w:basedOn w:val="P34"/>
    <w:next w:val="P56"/>
    <w:pPr>
      <w:tabs>
        <w:tab w:val="left" w:pos="1008" w:leader="none"/>
      </w:tabs>
      <w:ind w:left="720"/>
    </w:pPr>
    <w:rPr>
      <w:b w:val="0"/>
    </w:rPr>
  </w:style>
  <w:style w:type="paragraph" w:styleId="P53">
    <w:name w:val="Contents"/>
    <w:basedOn w:val="P36"/>
    <w:next w:val="P4"/>
    <w:pPr/>
    <w:rPr/>
  </w:style>
  <w:style w:type="paragraph" w:styleId="P54">
    <w:name w:val="Exhibit--Title"/>
    <w:basedOn w:val="P43"/>
    <w:next w:val="P57"/>
    <w:pPr>
      <w:spacing w:before="0"/>
    </w:pPr>
    <w:rPr>
      <w:b w:val="1"/>
      <w:caps w:val="0"/>
      <w:sz w:val="20"/>
    </w:rPr>
  </w:style>
  <w:style w:type="paragraph" w:styleId="P55">
    <w:name w:val="Table Notes"/>
    <w:basedOn w:val="P45"/>
    <w:next w:val="P55"/>
    <w:pPr>
      <w:spacing w:after="320"/>
    </w:pPr>
    <w:rPr/>
  </w:style>
  <w:style w:type="paragraph" w:styleId="P56">
    <w:name w:val="TOC 3"/>
    <w:basedOn w:val="P52"/>
    <w:next w:val="P56"/>
    <w:pPr>
      <w:tabs>
        <w:tab w:val="clear" w:pos="1008" w:leader="none"/>
        <w:tab w:val="left" w:pos="1728" w:leader="none"/>
      </w:tabs>
      <w:ind w:left="1440"/>
    </w:pPr>
    <w:rPr/>
  </w:style>
  <w:style w:type="paragraph" w:styleId="P57">
    <w:name w:val="Exhibit--Caption"/>
    <w:basedOn w:val="P54"/>
    <w:next w:val="P4"/>
    <w:pPr/>
    <w:rPr>
      <w:i w:val="1"/>
    </w:rPr>
  </w:style>
  <w:style w:type="paragraph" w:styleId="P58">
    <w:name w:val="TOC 4"/>
    <w:basedOn w:val="P56"/>
    <w:next w:val="P13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7"/>
    <w:rPr>
      <w:rFonts w:ascii="Arial Narrow" w:hAnsi="Arial Narrow"/>
      <w:b w:val="1"/>
      <w:sz w:val="22"/>
    </w:rPr>
  </w:style>
  <w:style w:type="character" w:styleId="C7">
    <w:name w:val="Heading 3 Char"/>
    <w:link w:val="P38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Comment Text Char"/>
    <w:link w:val="P5"/>
    <w:rPr>
      <w:rFonts w:ascii="Arial" w:hAnsi="Arial"/>
    </w:rPr>
  </w:style>
  <w:style w:type="character" w:styleId="C10">
    <w:name w:val="Comment Subject Char"/>
    <w:link w:val="P35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2017-05-23T20:23:00Z</dcterms:created>
  <cp:lastModifiedBy>Ray</cp:lastModifiedBy>
  <cp:lastPrinted>2015-04-01T13:47:00Z</cp:lastPrinted>
  <dcterms:modified xsi:type="dcterms:W3CDTF">2022-10-04T19:39:02Z</dcterms:modified>
  <cp:revision>4</cp:revision>
  <dc:title>15200-08_Stainless_Steel_Pipe_And_Fittings-General_Service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2017-05-23T00:00:00Z</vt:lpwstr>
  </property>
  <property fmtid="{D5CDD505-2E9C-101B-9397-08002B2CF9AE}" pid="4" name="_dlc_DocId">
    <vt:lpwstr>ENVCPD-83-1408</vt:lpwstr>
  </property>
  <property fmtid="{D5CDD505-2E9C-101B-9397-08002B2CF9AE}" pid="5" name="_dlc_DocIdItemGuid">
    <vt:lpwstr>ce7d05e9-58d1-4714-ab58-aa386045665d</vt:lpwstr>
  </property>
  <property fmtid="{D5CDD505-2E9C-101B-9397-08002B2CF9AE}" pid="6" name="_dlc_DocIdUrl">
    <vt:lpwstr>https://mycloud.york.ca/projects/EnvServProgramDeliveryOffice/ProjectServer/AEL/_layouts/DocIdRedir.aspx?ID=ENVCPD-83-1408, ENVCPD-83-1408</vt:lpwstr>
  </property>
</Properties>
</file>