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83ED8FA" Type="http://schemas.openxmlformats.org/officeDocument/2006/relationships/officeDocument" Target="word/document.xml"/><Relationship Id="coreR583ED8FA" Type="http://schemas.openxmlformats.org/package/2006/relationships/metadata/core-properties" Target="docProps/core.xml"/><Relationship Id="customR583ED8F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55"/>
              <w:rPr>
                <w:rFonts w:ascii="Calibri" w:hAnsi="Calibri"/>
              </w:rPr>
            </w:pPr>
            <w:r>
              <w:rPr>
                <w:rFonts w:ascii="Calibri" w:hAnsi="Calibri"/>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55"/>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55"/>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August 18,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sz w:val="22"/>
              </w:rPr>
              <w:t>First draft review comments (AV)</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6"/>
              <w:rPr>
                <w:rFonts w:ascii="Calibri" w:hAnsi="Calibri"/>
                <w:b w:val="1"/>
                <w:sz w:val="22"/>
              </w:rPr>
            </w:pPr>
            <w:r>
              <w:rPr>
                <w:rFonts w:ascii="Calibri" w:hAnsi="Calibri"/>
                <w:b w:val="1"/>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6"/>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b w:val="1"/>
                <w:sz w:val="22"/>
              </w:rPr>
              <w:t>Updated, Finalized Specification – Reference eDOCS #</w:t>
            </w:r>
            <w:r>
              <w:rPr>
                <w:rFonts w:ascii="Calibri" w:hAnsi="Calibri"/>
                <w:b w:val="1"/>
                <w:sz w:val="22"/>
              </w:rPr>
              <w:t>5823673-v5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sz w:val="22"/>
              </w:rPr>
              <w:t xml:space="preserve">Updated references to standards ASME B16.5-2013, ASTM A193/A193M-16, ASTM A194/A194M-17, ASTM A216/A216M-16, ASTM D4894-15, ASTM D4895-16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36"/>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36"/>
              <w:rPr>
                <w:rFonts w:ascii="Calibri" w:hAnsi="Calibri"/>
                <w:sz w:val="22"/>
              </w:rPr>
            </w:pPr>
            <w:r>
              <w:rPr>
                <w:rFonts w:ascii="Calibri" w:hAnsi="Calibri"/>
                <w:sz w:val="22"/>
              </w:rPr>
              <w:t>August 16,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36"/>
              <w:rPr>
                <w:rFonts w:ascii="Calibri" w:hAnsi="Calibri"/>
                <w:sz w:val="22"/>
              </w:rPr>
            </w:pPr>
            <w:r>
              <w:rPr>
                <w:rFonts w:ascii="Calibri" w:hAnsi="Calibri"/>
                <w:sz w:val="22"/>
              </w:rPr>
              <w:t>Removal of listed products (CPD, OMM)</w:t>
            </w:r>
          </w:p>
        </w:tc>
      </w:tr>
    </w:tbl>
    <w:p>
      <w:pPr>
        <w:pStyle w:val="P45"/>
        <w:numPr>
          <w:ilvl w:val="0"/>
          <w:numId w:val="0"/>
        </w:numPr>
        <w:tabs>
          <w:tab w:val="clear" w:pos="1008" w:leader="none"/>
          <w:tab w:val="left" w:pos="1080" w:leader="none"/>
        </w:tabs>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5"/>
        <w:numPr>
          <w:ilvl w:val="0"/>
          <w:numId w:val="0"/>
        </w:numPr>
        <w:tabs>
          <w:tab w:val="clear" w:pos="1008" w:leader="none"/>
          <w:tab w:val="left" w:pos="1080" w:leader="none"/>
        </w:tabs>
        <w:rPr>
          <w:rFonts w:ascii="Calibri" w:hAnsi="Calibri"/>
        </w:rPr>
      </w:pPr>
    </w:p>
    <w:p>
      <w:pPr>
        <w:rPr>
          <w:rFonts w:ascii="Calibri" w:hAnsi="Calibri"/>
        </w:rPr>
      </w:pPr>
      <w:r>
        <w:br w:type="page"/>
      </w:r>
    </w:p>
    <w:tbl>
      <w:tblPr>
        <w:tblStyle w:val="T2"/>
        <w:tblW w:w="0" w:type="auto"/>
        <w:jc w:val="center"/>
        <w:tblInd w:w="115" w:type="dxa"/>
        <w:tblLayout w:type="fixed"/>
        <w:tblCellMar>
          <w:top w:w="0" w:type="dxa"/>
          <w:left w:w="120" w:type="dxa"/>
          <w:bottom w:w="0" w:type="dxa"/>
          <w:right w:w="120" w:type="dxa"/>
        </w:tblCellMar>
      </w:tblPr>
      <w:tblGrid/>
      <w:tr>
        <w:trPr>
          <w:wAfter w:w="0" w:type="dxa"/>
        </w:trPr>
        <w:tc>
          <w:tcPr>
            <w:tcW w:w="1625" w:type="dxa"/>
            <w:tcBorders>
              <w:top w:val="double" w:sz="6" w:space="0" w:shadow="0" w:frame="0"/>
              <w:left w:val="double" w:sz="6" w:space="0" w:shadow="0" w:frame="0"/>
              <w:bottom w:val="double" w:sz="6" w:space="0" w:shadow="0" w:frame="0"/>
            </w:tcBorders>
          </w:tcPr>
          <w:p>
            <w:pPr>
              <w:pStyle w:val="P66"/>
              <w:spacing w:before="60" w:after="60"/>
              <w:rPr>
                <w:rFonts w:ascii="Calibri" w:hAnsi="Calibri"/>
                <w:sz w:val="22"/>
              </w:rPr>
            </w:pPr>
            <w:r>
              <w:rPr>
                <w:rFonts w:ascii="Calibri" w:hAnsi="Calibri"/>
                <w:sz w:val="22"/>
              </w:rPr>
              <w:t>Item</w:t>
            </w:r>
          </w:p>
        </w:tc>
        <w:tc>
          <w:tcPr>
            <w:tcW w:w="7380" w:type="dxa"/>
            <w:tcBorders>
              <w:top w:val="double" w:sz="6" w:space="0" w:shadow="0" w:frame="0"/>
              <w:left w:val="single" w:sz="6" w:space="0" w:shadow="0" w:frame="0"/>
              <w:bottom w:val="double" w:sz="6" w:space="0" w:shadow="0" w:frame="0"/>
              <w:right w:val="double" w:sz="6" w:space="0" w:shadow="0" w:frame="0"/>
            </w:tcBorders>
          </w:tcPr>
          <w:p>
            <w:pPr>
              <w:pStyle w:val="P66"/>
              <w:spacing w:before="60" w:after="60"/>
              <w:rPr>
                <w:rFonts w:ascii="Calibri" w:hAnsi="Calibri"/>
                <w:sz w:val="22"/>
              </w:rPr>
            </w:pPr>
            <w:r>
              <w:rPr>
                <w:rFonts w:ascii="Calibri" w:hAnsi="Calibri"/>
                <w:sz w:val="22"/>
              </w:rPr>
              <w:t>Description</w:t>
            </w:r>
          </w:p>
        </w:tc>
      </w:tr>
      <w:tr>
        <w:trPr>
          <w:wAfter w:w="0" w:type="dxa"/>
          <w:trHeight w:hRule="atLeast" w:val="2043"/>
        </w:trPr>
        <w:tc>
          <w:tcPr>
            <w:tcW w:w="1625" w:type="dxa"/>
            <w:tcBorders>
              <w:left w:val="double" w:sz="6" w:space="0" w:shadow="0" w:frame="0"/>
            </w:tcBorders>
          </w:tcPr>
          <w:p>
            <w:pPr>
              <w:pStyle w:val="P35"/>
              <w:spacing w:before="60"/>
              <w:rPr>
                <w:rFonts w:ascii="Calibri" w:hAnsi="Calibri"/>
                <w:sz w:val="22"/>
              </w:rPr>
            </w:pPr>
            <w:r>
              <w:rPr>
                <w:rFonts w:ascii="Calibri" w:hAnsi="Calibri"/>
                <w:sz w:val="22"/>
              </w:rPr>
              <w:t>PTFE Lining</w:t>
            </w:r>
          </w:p>
        </w:tc>
        <w:tc>
          <w:tcPr>
            <w:tcW w:w="7380" w:type="dxa"/>
            <w:tcBorders>
              <w:left w:val="single" w:sz="6" w:space="0" w:shadow="0" w:frame="0"/>
              <w:right w:val="double" w:sz="6" w:space="0" w:shadow="0" w:frame="0"/>
            </w:tcBorders>
          </w:tcPr>
          <w:p>
            <w:pPr>
              <w:pStyle w:val="P35"/>
              <w:spacing w:before="60"/>
              <w:rPr>
                <w:rFonts w:ascii="Calibri" w:hAnsi="Calibri"/>
                <w:sz w:val="22"/>
              </w:rPr>
            </w:pPr>
            <w:r>
              <w:rPr>
                <w:rFonts w:ascii="Calibri" w:hAnsi="Calibri"/>
                <w:sz w:val="22"/>
              </w:rPr>
              <w:t>Poly (tetrafluorethylene) meeting the requirements of ASTM D4894-15 and ASTM D4895-16. Minimum lining thicknesses for nominal pipe sizes are as follows:</w:t>
            </w:r>
          </w:p>
          <w:p>
            <w:pPr>
              <w:pStyle w:val="P35"/>
              <w:tabs>
                <w:tab w:val="left" w:pos="864" w:leader="none"/>
              </w:tabs>
              <w:spacing w:before="0"/>
              <w:ind w:left="508"/>
              <w:rPr>
                <w:rFonts w:ascii="Calibri" w:hAnsi="Calibri"/>
                <w:sz w:val="22"/>
              </w:rPr>
            </w:pPr>
            <w:r>
              <w:rPr>
                <w:rFonts w:ascii="Calibri" w:hAnsi="Calibri"/>
                <w:sz w:val="22"/>
              </w:rPr>
              <w:t>50 mm &amp; smaller</w:t>
              <w:tab/>
              <w:t>1.6 mm thick</w:t>
            </w:r>
          </w:p>
          <w:p>
            <w:pPr>
              <w:pStyle w:val="P35"/>
              <w:tabs>
                <w:tab w:val="left" w:pos="864" w:leader="none"/>
              </w:tabs>
              <w:spacing w:before="0"/>
              <w:ind w:left="508"/>
              <w:rPr>
                <w:rFonts w:ascii="Calibri" w:hAnsi="Calibri"/>
                <w:sz w:val="22"/>
              </w:rPr>
            </w:pPr>
            <w:r>
              <w:rPr>
                <w:rFonts w:ascii="Calibri" w:hAnsi="Calibri"/>
                <w:sz w:val="22"/>
              </w:rPr>
              <w:t>75 mm</w:t>
              <w:tab/>
              <w:tab/>
              <w:tab/>
              <w:t>2.0 mm thick</w:t>
            </w:r>
          </w:p>
          <w:p>
            <w:pPr>
              <w:pStyle w:val="P35"/>
              <w:tabs>
                <w:tab w:val="left" w:pos="864" w:leader="none"/>
              </w:tabs>
              <w:spacing w:before="0"/>
              <w:ind w:left="508"/>
              <w:rPr>
                <w:rFonts w:ascii="Calibri" w:hAnsi="Calibri"/>
                <w:sz w:val="22"/>
              </w:rPr>
            </w:pPr>
            <w:r>
              <w:rPr>
                <w:rFonts w:ascii="Calibri" w:hAnsi="Calibri"/>
                <w:sz w:val="22"/>
              </w:rPr>
              <w:t>100 mm</w:t>
              <w:tab/>
              <w:tab/>
              <w:tab/>
              <w:t>2.4 mm thick</w:t>
            </w:r>
          </w:p>
          <w:p>
            <w:pPr>
              <w:pStyle w:val="P35"/>
              <w:tabs>
                <w:tab w:val="left" w:pos="864" w:leader="none"/>
              </w:tabs>
              <w:spacing w:before="0"/>
              <w:ind w:left="508"/>
              <w:rPr>
                <w:rFonts w:ascii="Calibri" w:hAnsi="Calibri"/>
                <w:sz w:val="22"/>
              </w:rPr>
            </w:pPr>
            <w:r>
              <w:rPr>
                <w:rFonts w:ascii="Calibri" w:hAnsi="Calibri"/>
                <w:sz w:val="22"/>
              </w:rPr>
              <w:t>150 mm</w:t>
              <w:tab/>
              <w:tab/>
              <w:tab/>
              <w:t>3.2 mm thick</w:t>
            </w:r>
          </w:p>
        </w:tc>
      </w:tr>
      <w:tr>
        <w:trPr>
          <w:wAfter w:w="0" w:type="dxa"/>
        </w:trPr>
        <w:tc>
          <w:tcPr>
            <w:tcW w:w="1625" w:type="dxa"/>
            <w:tcBorders>
              <w:top w:val="single" w:sz="6" w:space="0" w:shadow="0" w:frame="0"/>
              <w:left w:val="double" w:sz="6" w:space="0" w:shadow="0" w:frame="0"/>
            </w:tcBorders>
          </w:tcPr>
          <w:p>
            <w:pPr>
              <w:pStyle w:val="P35"/>
              <w:spacing w:before="60"/>
              <w:rPr>
                <w:rFonts w:ascii="Calibri" w:hAnsi="Calibri"/>
                <w:sz w:val="22"/>
              </w:rPr>
            </w:pPr>
            <w:r>
              <w:rPr>
                <w:rFonts w:ascii="Calibri" w:hAnsi="Calibri"/>
                <w:sz w:val="22"/>
              </w:rPr>
              <w:t>Pipe</w:t>
            </w:r>
          </w:p>
        </w:tc>
        <w:tc>
          <w:tcPr>
            <w:tcW w:w="7380" w:type="dxa"/>
            <w:tcBorders>
              <w:top w:val="single" w:sz="6" w:space="0" w:shadow="0" w:frame="0"/>
              <w:left w:val="single" w:sz="6" w:space="0" w:shadow="0" w:frame="0"/>
              <w:right w:val="double" w:sz="6" w:space="0" w:shadow="0" w:frame="0"/>
            </w:tcBorders>
          </w:tcPr>
          <w:p>
            <w:pPr>
              <w:pStyle w:val="P35"/>
              <w:spacing w:before="60"/>
              <w:rPr>
                <w:rFonts w:ascii="Calibri" w:hAnsi="Calibri"/>
                <w:sz w:val="22"/>
              </w:rPr>
            </w:pPr>
            <w:r>
              <w:rPr>
                <w:rFonts w:ascii="Calibri" w:hAnsi="Calibri"/>
                <w:sz w:val="22"/>
              </w:rPr>
              <w:t xml:space="preserve">PTFE-lined black carbon steel pipe  seamless, ERW, or electric welded meeting requirements of ASTM A53/A53M-12 Type E or S, ASTM A106/A106M-15, ASTM A135/A135M-09(2014), or ASTM A587-96(2012). </w:t>
            </w:r>
          </w:p>
          <w:p>
            <w:pPr>
              <w:pStyle w:val="P35"/>
              <w:spacing w:before="0"/>
              <w:rPr>
                <w:rFonts w:ascii="Calibri" w:hAnsi="Calibri"/>
                <w:sz w:val="22"/>
              </w:rPr>
            </w:pPr>
            <w:r>
              <w:rPr>
                <w:rFonts w:ascii="Calibri" w:hAnsi="Calibri"/>
                <w:sz w:val="22"/>
              </w:rPr>
              <w:t>Minimum Pipe Wall Thickness:</w:t>
            </w:r>
          </w:p>
          <w:p>
            <w:pPr>
              <w:pStyle w:val="P35"/>
              <w:spacing w:before="0"/>
              <w:rPr>
                <w:rFonts w:ascii="Calibri" w:hAnsi="Calibri"/>
                <w:sz w:val="22"/>
              </w:rPr>
            </w:pPr>
            <w:r>
              <w:rPr>
                <w:rFonts w:ascii="Calibri" w:hAnsi="Calibri"/>
                <w:sz w:val="22"/>
              </w:rPr>
              <w:t xml:space="preserve">           150 mm &amp; smaller</w:t>
              <w:tab/>
              <w:t>Schedule 40</w:t>
            </w:r>
          </w:p>
          <w:p>
            <w:pPr>
              <w:pStyle w:val="P35"/>
              <w:spacing w:before="0"/>
              <w:rPr>
                <w:rFonts w:ascii="Calibri" w:hAnsi="Calibri"/>
                <w:i w:val="1"/>
                <w:sz w:val="22"/>
              </w:rPr>
            </w:pPr>
            <w:r>
              <w:rPr>
                <w:rFonts w:ascii="Calibri" w:hAnsi="Calibri"/>
                <w:i w:val="1"/>
                <w:sz w:val="22"/>
                <w:highlight w:val="yellow"/>
              </w:rPr>
              <w:t>[Consultant to amend as required for other sized pipe and fittings]</w:t>
            </w:r>
          </w:p>
        </w:tc>
      </w:tr>
      <w:tr>
        <w:trPr>
          <w:wAfter w:w="0" w:type="dxa"/>
        </w:trPr>
        <w:tc>
          <w:tcPr>
            <w:tcW w:w="1625" w:type="dxa"/>
            <w:tcBorders>
              <w:top w:val="single" w:sz="6" w:space="0" w:shadow="0" w:frame="0"/>
              <w:left w:val="double" w:sz="6" w:space="0" w:shadow="0" w:frame="0"/>
              <w:bottom w:val="single" w:sz="6" w:space="0" w:shadow="0" w:frame="0"/>
              <w:right w:val="single" w:sz="6" w:space="0" w:shadow="0" w:frame="0"/>
            </w:tcBorders>
          </w:tcPr>
          <w:p>
            <w:pPr>
              <w:pStyle w:val="P35"/>
              <w:spacing w:before="60"/>
              <w:rPr>
                <w:rFonts w:ascii="Calibri" w:hAnsi="Calibri"/>
                <w:sz w:val="22"/>
              </w:rPr>
            </w:pPr>
            <w:r>
              <w:rPr>
                <w:rFonts w:ascii="Calibri" w:hAnsi="Calibri"/>
                <w:sz w:val="22"/>
              </w:rPr>
              <w:t>Fittings</w:t>
            </w:r>
          </w:p>
        </w:tc>
        <w:tc>
          <w:tcPr>
            <w:tcW w:w="7380" w:type="dxa"/>
            <w:tcBorders>
              <w:top w:val="sing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ASME B16.5-2013, Class 150 flanged cast steel meeting requirements of ASTM A216/A216M-16, Grade WCB.</w:t>
            </w:r>
          </w:p>
        </w:tc>
      </w:tr>
      <w:tr>
        <w:trPr>
          <w:wAfter w:w="0" w:type="dxa"/>
        </w:trPr>
        <w:tc>
          <w:tcPr>
            <w:tcW w:w="1625" w:type="dxa"/>
            <w:tcBorders>
              <w:top w:val="single" w:sz="6" w:space="0" w:shadow="0" w:frame="0"/>
              <w:left w:val="double" w:sz="6" w:space="0" w:shadow="0" w:frame="0"/>
              <w:bottom w:val="single" w:sz="6" w:space="0" w:shadow="0" w:frame="0"/>
              <w:right w:val="single" w:sz="6" w:space="0" w:shadow="0" w:frame="0"/>
            </w:tcBorders>
          </w:tcPr>
          <w:p>
            <w:pPr>
              <w:pStyle w:val="P35"/>
              <w:spacing w:before="60"/>
              <w:rPr>
                <w:rFonts w:ascii="Calibri" w:hAnsi="Calibri"/>
                <w:sz w:val="22"/>
              </w:rPr>
            </w:pPr>
            <w:r>
              <w:rPr>
                <w:rFonts w:ascii="Calibri" w:hAnsi="Calibri"/>
                <w:sz w:val="22"/>
              </w:rPr>
              <w:t>Pipe and Fitting Vents</w:t>
            </w:r>
          </w:p>
        </w:tc>
        <w:tc>
          <w:tcPr>
            <w:tcW w:w="7380" w:type="dxa"/>
            <w:tcBorders>
              <w:top w:val="single" w:sz="6" w:space="0" w:shadow="0" w:frame="0"/>
              <w:left w:val="single" w:sz="6" w:space="0" w:shadow="0" w:frame="0"/>
              <w:bottom w:val="single" w:sz="6" w:space="0" w:shadow="0" w:frame="0"/>
              <w:right w:val="double" w:sz="6" w:space="0" w:shadow="0" w:frame="0"/>
            </w:tcBorders>
          </w:tcPr>
          <w:p>
            <w:pPr>
              <w:pStyle w:val="P35"/>
              <w:spacing w:before="60" w:after="60"/>
              <w:rPr>
                <w:rFonts w:ascii="Calibri" w:hAnsi="Calibri"/>
                <w:sz w:val="22"/>
              </w:rPr>
            </w:pPr>
            <w:r>
              <w:rPr>
                <w:rFonts w:ascii="Calibri" w:hAnsi="Calibri"/>
                <w:sz w:val="22"/>
              </w:rPr>
              <w:t>Install 1.6 mm minimum to 3.2 mm maximum diameter vent holes in pipe wall: One vent hole every 900 mm along pipe rotated approximately 90 degrees to preceding vent; one vent every 450 mm along field-flared pipe rotated approximately 90 degrees to preceding vent; minimum of two vents per pipe spool; two vents 180 degrees apart located within 150 mm of each flange. Provide vent extensions to the outside of pipe insulation or other overwrap. Use 3.2 mm, 13,800 kPag or 20,700 kPag WOG, half couplings welded to pipe before lining is installed with 3.2 mm carbon steel pipe for vent.</w:t>
            </w:r>
          </w:p>
        </w:tc>
      </w:tr>
      <w:tr>
        <w:trPr>
          <w:wAfter w:w="0" w:type="dxa"/>
        </w:trPr>
        <w:tc>
          <w:tcPr>
            <w:tcW w:w="1625" w:type="dxa"/>
            <w:tcBorders>
              <w:left w:val="double" w:sz="6" w:space="0" w:shadow="0" w:frame="0"/>
              <w:bottom w:val="single" w:sz="6" w:space="0" w:shadow="0" w:frame="0"/>
            </w:tcBorders>
          </w:tcPr>
          <w:p>
            <w:pPr>
              <w:pStyle w:val="P35"/>
              <w:spacing w:before="60"/>
              <w:rPr>
                <w:rFonts w:ascii="Calibri" w:hAnsi="Calibri"/>
                <w:sz w:val="22"/>
              </w:rPr>
            </w:pPr>
            <w:r>
              <w:rPr>
                <w:rFonts w:ascii="Calibri" w:hAnsi="Calibri"/>
                <w:sz w:val="22"/>
              </w:rPr>
              <w:t>Joints</w:t>
            </w:r>
          </w:p>
        </w:tc>
        <w:tc>
          <w:tcPr>
            <w:tcW w:w="7380" w:type="dxa"/>
            <w:tcBorders>
              <w:left w:val="single" w:sz="6" w:space="0" w:shadow="0" w:frame="0"/>
              <w:bottom w:val="single" w:sz="6" w:space="0" w:shadow="0" w:frame="0"/>
              <w:right w:val="double" w:sz="6" w:space="0" w:shadow="0" w:frame="0"/>
            </w:tcBorders>
          </w:tcPr>
          <w:p>
            <w:pPr>
              <w:pStyle w:val="P35"/>
              <w:spacing w:before="60" w:after="60"/>
              <w:rPr>
                <w:rFonts w:ascii="Calibri" w:hAnsi="Calibri"/>
                <w:sz w:val="22"/>
              </w:rPr>
            </w:pPr>
            <w:r>
              <w:rPr>
                <w:rFonts w:ascii="Calibri" w:hAnsi="Calibri"/>
                <w:sz w:val="22"/>
              </w:rPr>
              <w:t>Flanged</w:t>
            </w:r>
          </w:p>
        </w:tc>
      </w:tr>
      <w:tr>
        <w:trPr>
          <w:wAfter w:w="0" w:type="dxa"/>
        </w:trPr>
        <w:tc>
          <w:tcPr>
            <w:tcW w:w="1625" w:type="dxa"/>
            <w:tcBorders>
              <w:top w:val="single" w:sz="6" w:space="0" w:shadow="0" w:frame="0"/>
              <w:left w:val="double" w:sz="6" w:space="0" w:shadow="0" w:frame="0"/>
              <w:bottom w:val="single" w:sz="4" w:space="0" w:shadow="0" w:frame="0"/>
            </w:tcBorders>
          </w:tcPr>
          <w:p>
            <w:pPr>
              <w:pStyle w:val="P35"/>
              <w:spacing w:before="60"/>
              <w:rPr>
                <w:rFonts w:ascii="Calibri" w:hAnsi="Calibri"/>
                <w:sz w:val="22"/>
              </w:rPr>
            </w:pPr>
            <w:r>
              <w:rPr>
                <w:rFonts w:ascii="Calibri" w:hAnsi="Calibri"/>
                <w:sz w:val="22"/>
              </w:rPr>
              <w:t>Flanges</w:t>
            </w:r>
          </w:p>
        </w:tc>
        <w:tc>
          <w:tcPr>
            <w:tcW w:w="7380" w:type="dxa"/>
            <w:tcBorders>
              <w:top w:val="single" w:sz="6" w:space="0" w:shadow="0" w:frame="0"/>
              <w:left w:val="single" w:sz="6" w:space="0" w:shadow="0" w:frame="0"/>
              <w:bottom w:val="single" w:sz="4" w:space="0" w:shadow="0" w:frame="0"/>
              <w:right w:val="double" w:sz="6" w:space="0" w:shadow="0" w:frame="0"/>
            </w:tcBorders>
          </w:tcPr>
          <w:p>
            <w:pPr>
              <w:pStyle w:val="P35"/>
              <w:spacing w:before="60" w:after="60"/>
              <w:rPr>
                <w:rFonts w:ascii="Calibri" w:hAnsi="Calibri"/>
                <w:sz w:val="22"/>
              </w:rPr>
            </w:pPr>
            <w:r>
              <w:rPr>
                <w:rFonts w:ascii="Calibri" w:hAnsi="Calibri"/>
                <w:sz w:val="22"/>
              </w:rPr>
              <w:t>ASME B16.5-2013, Class 150, carbon steel, Van Stone (lap joint), slip-on or socket-weld meeting the requirements of ASTM A105/A105M-14 or ASTM A181/A181M-14. Flange facing shall be molded or extended and flared pipe or fitting lining forming raised-face gasket surface.</w:t>
            </w:r>
          </w:p>
        </w:tc>
      </w:tr>
      <w:tr>
        <w:trPr>
          <w:wAfter w:w="0" w:type="dxa"/>
        </w:trPr>
        <w:tc>
          <w:tcPr>
            <w:tcW w:w="1625" w:type="dxa"/>
            <w:tcBorders>
              <w:top w:val="single" w:sz="4" w:space="0" w:shadow="0" w:frame="0"/>
              <w:left w:val="double" w:sz="6" w:space="0" w:shadow="0" w:frame="0"/>
              <w:bottom w:val="single" w:sz="6" w:space="0" w:shadow="0" w:frame="0"/>
            </w:tcBorders>
          </w:tcPr>
          <w:p>
            <w:pPr>
              <w:pStyle w:val="P35"/>
              <w:spacing w:before="60"/>
              <w:rPr>
                <w:rFonts w:ascii="Calibri" w:hAnsi="Calibri"/>
                <w:sz w:val="22"/>
              </w:rPr>
            </w:pPr>
            <w:r>
              <w:rPr>
                <w:rFonts w:ascii="Calibri" w:hAnsi="Calibri"/>
                <w:sz w:val="22"/>
              </w:rPr>
              <w:t>Bolting</w:t>
            </w:r>
          </w:p>
        </w:tc>
        <w:tc>
          <w:tcPr>
            <w:tcW w:w="7380" w:type="dxa"/>
            <w:tcBorders>
              <w:top w:val="single" w:sz="4" w:space="0" w:shadow="0" w:frame="0"/>
              <w:left w:val="single" w:sz="6" w:space="0" w:shadow="0" w:frame="0"/>
              <w:bottom w:val="single" w:sz="6" w:space="0" w:shadow="0" w:frame="0"/>
              <w:right w:val="double" w:sz="6" w:space="0" w:shadow="0" w:frame="0"/>
            </w:tcBorders>
          </w:tcPr>
          <w:p>
            <w:pPr>
              <w:pStyle w:val="P35"/>
              <w:spacing w:before="60" w:after="60"/>
              <w:rPr>
                <w:rFonts w:ascii="Calibri" w:hAnsi="Calibri"/>
                <w:sz w:val="22"/>
              </w:rPr>
            </w:pPr>
            <w:r>
              <w:rPr>
                <w:rFonts w:ascii="Calibri" w:hAnsi="Calibri"/>
                <w:sz w:val="22"/>
              </w:rPr>
              <w:t>Stainless steel, ASTM A193/A193M-16, Grade B8M studs and ASTM A194/A194M-17, Grade 8M hex head nuts.</w:t>
            </w:r>
          </w:p>
        </w:tc>
      </w:tr>
      <w:tr>
        <w:trPr>
          <w:wAfter w:w="0" w:type="dxa"/>
        </w:trPr>
        <w:tc>
          <w:tcPr>
            <w:tcW w:w="1625" w:type="dxa"/>
            <w:tcBorders>
              <w:left w:val="double" w:sz="6" w:space="0" w:shadow="0" w:frame="0"/>
              <w:bottom w:val="double" w:sz="6" w:space="0" w:shadow="0" w:frame="0"/>
            </w:tcBorders>
          </w:tcPr>
          <w:p>
            <w:pPr>
              <w:pStyle w:val="P35"/>
              <w:spacing w:before="60"/>
              <w:rPr>
                <w:rFonts w:ascii="Calibri" w:hAnsi="Calibri"/>
                <w:sz w:val="22"/>
              </w:rPr>
            </w:pPr>
            <w:r>
              <w:rPr>
                <w:rFonts w:ascii="Calibri" w:hAnsi="Calibri"/>
                <w:sz w:val="22"/>
              </w:rPr>
              <w:t>Gaskets</w:t>
            </w:r>
          </w:p>
        </w:tc>
        <w:tc>
          <w:tcPr>
            <w:tcW w:w="7380" w:type="dxa"/>
            <w:tcBorders>
              <w:left w:val="single" w:sz="6" w:space="0" w:shadow="0" w:frame="0"/>
              <w:bottom w:val="double" w:sz="6" w:space="0" w:shadow="0" w:frame="0"/>
              <w:right w:val="double" w:sz="6" w:space="0" w:shadow="0" w:frame="0"/>
            </w:tcBorders>
          </w:tcPr>
          <w:p>
            <w:pPr>
              <w:pStyle w:val="P35"/>
              <w:spacing w:before="0"/>
              <w:rPr>
                <w:rFonts w:ascii="Calibri" w:hAnsi="Calibri"/>
                <w:sz w:val="22"/>
              </w:rPr>
            </w:pPr>
            <w:r>
              <w:rPr>
                <w:rFonts w:ascii="Calibri" w:hAnsi="Calibri"/>
                <w:sz w:val="22"/>
              </w:rPr>
              <w:t>Tetrafluoroethylene (TFE) envelope, flat ring type.</w:t>
            </w:r>
          </w:p>
          <w:p>
            <w:pPr>
              <w:pStyle w:val="P35"/>
              <w:spacing w:before="0"/>
              <w:rPr>
                <w:rFonts w:ascii="Calibri" w:hAnsi="Calibri"/>
                <w:sz w:val="22"/>
              </w:rPr>
            </w:pPr>
            <w:r>
              <w:rPr>
                <w:rFonts w:ascii="Calibri" w:hAnsi="Calibri"/>
                <w:sz w:val="22"/>
              </w:rPr>
              <w:t>When mating flange has flat face, provide filler gasket between outside diameter of raised-face flange liner and flange outside diameter to protect flange from excessive bolting moment.</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0" w:bottom="117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CONTRACT NO</w:t>
    </w:r>
    <w:r>
      <w:rPr>
        <w:rFonts w:ascii="Calibri" w:hAnsi="Calibri"/>
        <w:sz w:val="22"/>
        <w:highlight w:val="lightGray"/>
      </w:rPr>
      <w:t>.... [Insert Region Number]</w:t>
    </w:r>
    <w:r>
      <w:rPr>
        <w:rFonts w:ascii="Calibri" w:hAnsi="Calibri"/>
        <w:sz w:val="22"/>
      </w:rPr>
      <w:tab/>
      <w:tab/>
      <w:t>Section 15200-17</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b w:val="1"/>
        <w:sz w:val="22"/>
      </w:rPr>
      <w:tab/>
    </w:r>
    <w:r>
      <w:rPr>
        <w:rFonts w:ascii="Calibri" w:hAnsi="Calibri"/>
        <w:b w:val="1"/>
        <w:sz w:val="22"/>
      </w:rPr>
      <w:t>PTFE-LINED STEEL PIPE AND FITTINGS</w:t>
    </w:r>
    <w:r>
      <w:rPr>
        <w:rFonts w:ascii="Calibri" w:hAnsi="Calibri"/>
        <w:sz w:val="22"/>
      </w:rPr>
      <w:tab/>
      <w:t>2014-08-18</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 xml:space="preserve">DATE:  </w:t>
    </w:r>
    <w:r>
      <w:rPr>
        <w:rFonts w:ascii="Calibri" w:hAnsi="Calibri"/>
        <w:sz w:val="22"/>
        <w:highlight w:val="lightGray"/>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of </w:t>
    </w:r>
    <w:r>
      <w:rPr>
        <w:rFonts w:ascii="Calibri" w:hAnsi="Calibri"/>
        <w:sz w:val="22"/>
      </w:rPr>
      <w:fldChar w:fldCharType="begin"/>
    </w:r>
    <w:r>
      <w:rPr>
        <w:rStyle w:val="C5"/>
        <w:rFonts w:ascii="Calibri" w:hAnsi="Calibri"/>
        <w:caps w:val="1"/>
        <w:sz w:val="22"/>
      </w:rPr>
      <w:instrText xml:space="preserve"> NUMPAGES </w:instrText>
    </w:r>
    <w:r>
      <w:rPr>
        <w:rStyle w:val="C5"/>
        <w:rFonts w:ascii="Calibri" w:hAnsi="Calibri"/>
        <w:sz w:val="22"/>
      </w:rPr>
      <w:fldChar w:fldCharType="separate"/>
    </w:r>
    <w:r>
      <w:rPr>
        <w:rStyle w:val="C5"/>
        <w:rFonts w:ascii="Calibri" w:hAnsi="Calibri"/>
        <w:caps w:val="1"/>
        <w:sz w:val="22"/>
      </w:rPr>
      <w:t>#</w:t>
    </w:r>
    <w:r>
      <w:rPr>
        <w:rStyle w:val="C5"/>
        <w:rFonts w:ascii="Calibri" w:hAnsi="Calibri"/>
        <w:sz w:val="22"/>
      </w:rPr>
      <w:fldChar w:fldCharType="end"/>
    </w:r>
  </w:p>
  <w:p>
    <w:pPr>
      <w:pStyle w:val="P10"/>
      <w:spacing w:after="240"/>
      <w:rPr>
        <w:rFonts w:ascii="Calibri" w:hAnsi="Calibri"/>
        <w:sz w:val="22"/>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CONTRACT NO. SSTR4559</w:t>
      <w:tab/>
      <w:tab/>
      <w:t>Section 15200-17</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b w:val="1"/>
        <w:sz w:val="22"/>
      </w:rPr>
      <w:tab/>
    </w:r>
    <w:r>
      <w:rPr>
        <w:rFonts w:ascii="Calibri (Body)" w:hAnsi="Calibri (Body)"/>
        <w:b w:val="1"/>
        <w:sz w:val="22"/>
      </w:rPr>
      <w:t>DOUBLE WALL CONTAINMENT PIPING</w:t>
    </w:r>
    <w:r>
      <w:rPr>
        <w:rFonts w:ascii="Calibri (Body)" w:hAnsi="Calibri (Body)"/>
        <w:sz w:val="22"/>
      </w:rPr>
      <w:tab/>
      <w:t>2017-08-16</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jc w:val="left"/>
      <w:rPr>
        <w:rFonts w:ascii="Calibri" w:hAnsi="Calibri"/>
        <w:sz w:val="22"/>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tabs>
        <w:tab w:val="center" w:pos="5220" w:leader="none"/>
        <w:tab w:val="right" w:pos="10800" w:leader="none"/>
      </w:tabs>
      <w:spacing w:after="240"/>
      <w:rPr>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Section 15200-17</w:t>
      <w:tab/>
      <w:tab/>
      <w:t>CONTRACT NO. SSTR4559</w:t>
      <w:tab/>
      <w:tab/>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2017-08-16</w:t>
    </w:r>
    <w:r>
      <w:rPr>
        <w:rFonts w:ascii="Calibri (Body)" w:hAnsi="Calibri (Body)"/>
        <w:b w:val="1"/>
        <w:sz w:val="22"/>
      </w:rPr>
      <w:tab/>
      <w:t>DOUBLE WALL CONTAINMENT PIPING</w:t>
    </w:r>
    <w:r>
      <w:rPr>
        <w:rFonts w:ascii="Calibri (Body)" w:hAnsi="Calibri (Body)"/>
        <w:sz w:val="22"/>
      </w:rPr>
      <w:tab/>
    </w:r>
  </w:p>
  <w:p>
    <w:pPr>
      <w:pStyle w:val="P10"/>
      <w:tabs>
        <w:tab w:val="right" w:pos="1080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hdr>
</file>

<file path=word/numbering.xml><?xml version="1.0" encoding="utf-8"?>
<w:numbering xmlns:w="http://schemas.openxmlformats.org/wordprocessingml/2006/main">
  <w:abstractNum w:abstractNumId="0">
    <w:nsid w:val="FFFFFF89"/>
    <w:multiLevelType w:val="hybridMultilevel"/>
    <w:lvl w:ilvl="0" w:tplc="6512F57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3D52BAF"/>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5C167C1"/>
    <w:multiLevelType w:val="multilevel"/>
    <w:lvl w:ilvl="0">
      <w:start w:val="1"/>
      <w:numFmt w:val="decimal"/>
      <w:suff w:val="tab"/>
      <w:lvlText w:val="%1."/>
      <w:lvlJc w:val="left"/>
      <w:pPr>
        <w:ind w:hanging="360" w:left="780"/>
      </w:pPr>
      <w:rPr/>
    </w:lvl>
    <w:lvl w:ilvl="1">
      <w:start w:val="1"/>
      <w:numFmt w:val="lowerLetter"/>
      <w:suff w:val="tab"/>
      <w:lvlText w:val="%2."/>
      <w:lvlJc w:val="left"/>
      <w:pPr>
        <w:ind w:hanging="360" w:left="1500"/>
      </w:pPr>
      <w:rPr/>
    </w:lvl>
    <w:lvl w:ilvl="2">
      <w:start w:val="1"/>
      <w:numFmt w:val="lowerRoman"/>
      <w:suff w:val="tab"/>
      <w:lvlText w:val="%3."/>
      <w:lvlJc w:val="right"/>
      <w:pPr>
        <w:ind w:hanging="180" w:left="2220"/>
      </w:pPr>
      <w:rPr/>
    </w:lvl>
    <w:lvl w:ilvl="3">
      <w:start w:val="1"/>
      <w:numFmt w:val="decimal"/>
      <w:suff w:val="tab"/>
      <w:lvlText w:val="%4."/>
      <w:lvlJc w:val="left"/>
      <w:pPr>
        <w:ind w:hanging="360" w:left="2940"/>
      </w:pPr>
      <w:rPr/>
    </w:lvl>
    <w:lvl w:ilvl="4">
      <w:start w:val="1"/>
      <w:numFmt w:val="lowerLetter"/>
      <w:suff w:val="tab"/>
      <w:lvlText w:val="%5."/>
      <w:lvlJc w:val="left"/>
      <w:pPr>
        <w:ind w:hanging="360" w:left="3660"/>
      </w:pPr>
      <w:rPr/>
    </w:lvl>
    <w:lvl w:ilvl="5">
      <w:start w:val="1"/>
      <w:numFmt w:val="lowerRoman"/>
      <w:suff w:val="tab"/>
      <w:lvlText w:val="%6."/>
      <w:lvlJc w:val="right"/>
      <w:pPr>
        <w:ind w:hanging="180" w:left="4380"/>
      </w:pPr>
      <w:rPr/>
    </w:lvl>
    <w:lvl w:ilvl="6">
      <w:start w:val="1"/>
      <w:numFmt w:val="decimal"/>
      <w:suff w:val="tab"/>
      <w:lvlText w:val="%7."/>
      <w:lvlJc w:val="left"/>
      <w:pPr>
        <w:ind w:hanging="360" w:left="5100"/>
      </w:pPr>
      <w:rPr/>
    </w:lvl>
    <w:lvl w:ilvl="7">
      <w:start w:val="1"/>
      <w:numFmt w:val="lowerLetter"/>
      <w:suff w:val="tab"/>
      <w:lvlText w:val="%8."/>
      <w:lvlJc w:val="left"/>
      <w:pPr>
        <w:ind w:hanging="360" w:left="5820"/>
      </w:pPr>
      <w:rPr/>
    </w:lvl>
    <w:lvl w:ilvl="8">
      <w:start w:val="1"/>
      <w:numFmt w:val="lowerRoman"/>
      <w:suff w:val="tab"/>
      <w:lvlText w:val="%9."/>
      <w:lvlJc w:val="right"/>
      <w:pPr>
        <w:ind w:hanging="180" w:left="6540"/>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5B77B9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
    <w:nsid w:val="6D650491"/>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6"/>
  </w:num>
  <w:num w:numId="8">
    <w:abstractNumId w:val="1"/>
  </w:num>
  <w:num w:numId="9">
    <w:abstractNumId w:val="12"/>
  </w:num>
  <w:num w:numId="10">
    <w:abstractNumId w:val="4"/>
  </w:num>
  <w:num w:numId="11">
    <w:abstractNumId w:val="10"/>
  </w:num>
  <w:num w:numId="12">
    <w:abstractNumId w:val="7"/>
  </w:num>
  <w:num w:numId="13">
    <w:abstractNumId w:val="11"/>
  </w:num>
  <w:num w:numId="14">
    <w:abstractNumId w:val="5"/>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sz w:val="24"/>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Table Text1"/>
    <w:basedOn w:val="P0"/>
    <w:next w:val="P22"/>
    <w:pPr>
      <w:spacing w:before="120"/>
    </w:pPr>
    <w:rPr/>
  </w:style>
  <w:style w:type="paragraph" w:styleId="P23">
    <w:name w:val="Table Text2"/>
    <w:basedOn w:val="P0"/>
    <w:next w:val="P23"/>
    <w:pPr>
      <w:spacing w:before="120"/>
    </w:pPr>
    <w:rPr/>
  </w:style>
  <w:style w:type="paragraph" w:styleId="P24">
    <w:name w:val="Table Text4"/>
    <w:basedOn w:val="P0"/>
    <w:next w:val="P24"/>
    <w:pPr>
      <w:spacing w:before="120"/>
    </w:pPr>
    <w:rPr/>
  </w:style>
  <w:style w:type="paragraph" w:styleId="P25">
    <w:name w:val="Table Text5"/>
    <w:basedOn w:val="P0"/>
    <w:next w:val="P25"/>
    <w:pPr>
      <w:spacing w:before="120"/>
    </w:pPr>
    <w:rPr/>
  </w:style>
  <w:style w:type="paragraph" w:styleId="P26">
    <w:name w:val="Table Text6"/>
    <w:basedOn w:val="P0"/>
    <w:next w:val="P26"/>
    <w:pPr>
      <w:spacing w:before="120"/>
    </w:pPr>
    <w:rPr/>
  </w:style>
  <w:style w:type="paragraph" w:styleId="P27">
    <w:name w:val="Table Text7"/>
    <w:basedOn w:val="P0"/>
    <w:next w:val="P27"/>
    <w:pPr>
      <w:spacing w:before="120"/>
    </w:pPr>
    <w:rPr/>
  </w:style>
  <w:style w:type="paragraph" w:styleId="P28">
    <w:name w:val="Table Text8"/>
    <w:basedOn w:val="P0"/>
    <w:next w:val="P28"/>
    <w:pPr>
      <w:spacing w:before="120"/>
    </w:pPr>
    <w:rPr/>
  </w:style>
  <w:style w:type="paragraph" w:styleId="P29">
    <w:name w:val="Table Text9"/>
    <w:basedOn w:val="P0"/>
    <w:next w:val="P29"/>
    <w:pPr>
      <w:spacing w:before="120"/>
    </w:pPr>
    <w:rPr/>
  </w:style>
  <w:style w:type="paragraph" w:styleId="P30">
    <w:name w:val="Table Text10"/>
    <w:basedOn w:val="P0"/>
    <w:next w:val="P30"/>
    <w:pPr>
      <w:spacing w:before="120"/>
    </w:pPr>
    <w:rPr/>
  </w:style>
  <w:style w:type="paragraph" w:styleId="P31">
    <w:name w:val="Table Text11"/>
    <w:basedOn w:val="P0"/>
    <w:next w:val="P31"/>
    <w:pPr>
      <w:spacing w:before="120"/>
    </w:pPr>
    <w:rPr/>
  </w:style>
  <w:style w:type="paragraph" w:styleId="P32">
    <w:name w:val="Table Text14"/>
    <w:basedOn w:val="P0"/>
    <w:next w:val="P32"/>
    <w:pPr>
      <w:spacing w:before="120"/>
    </w:pPr>
    <w:rPr/>
  </w:style>
  <w:style w:type="paragraph" w:styleId="P33">
    <w:name w:val="Table Text15"/>
    <w:basedOn w:val="P0"/>
    <w:next w:val="P33"/>
    <w:pPr>
      <w:spacing w:before="120"/>
    </w:pPr>
    <w:rPr/>
  </w:style>
  <w:style w:type="paragraph" w:styleId="P34">
    <w:name w:val="Table Text16"/>
    <w:basedOn w:val="P0"/>
    <w:next w:val="P34"/>
    <w:pPr>
      <w:spacing w:before="120"/>
    </w:pPr>
    <w:rPr/>
  </w:style>
  <w:style w:type="paragraph" w:styleId="P35">
    <w:name w:val="Table Text17"/>
    <w:basedOn w:val="P0"/>
    <w:next w:val="P35"/>
    <w:pPr>
      <w:spacing w:before="120"/>
    </w:pPr>
    <w:rPr/>
  </w:style>
  <w:style w:type="paragraph" w:styleId="P36">
    <w:name w:val="Normal Table Text"/>
    <w:basedOn w:val="P0"/>
    <w:next w:val="P36"/>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37">
    <w:name w:val="Balloon Text"/>
    <w:basedOn w:val="P0"/>
    <w:next w:val="P37"/>
    <w:link w:val="C9"/>
    <w:pPr/>
    <w:rPr>
      <w:rFonts w:ascii="Tahoma" w:hAnsi="Tahoma"/>
      <w:sz w:val="16"/>
    </w:rPr>
  </w:style>
  <w:style w:type="paragraph" w:styleId="P38">
    <w:name w:val="Bullet"/>
    <w:basedOn w:val="P4"/>
    <w:next w:val="P4"/>
    <w:pPr/>
    <w:rPr/>
  </w:style>
  <w:style w:type="paragraph" w:styleId="P39">
    <w:name w:val="CSA"/>
    <w:basedOn w:val="P4"/>
    <w:next w:val="P45"/>
    <w:pPr>
      <w:keepNext w:val="1"/>
      <w:spacing w:after="0"/>
    </w:pPr>
    <w:rPr>
      <w:b w:val="1"/>
      <w:caps w:val="1"/>
      <w:sz w:val="20"/>
    </w:rPr>
  </w:style>
  <w:style w:type="paragraph" w:styleId="P40">
    <w:name w:val="Footnote Text"/>
    <w:basedOn w:val="P4"/>
    <w:next w:val="P40"/>
    <w:pPr>
      <w:spacing w:after="0"/>
    </w:pPr>
    <w:rPr>
      <w:rFonts w:ascii="Arial" w:hAnsi="Arial"/>
      <w:sz w:val="16"/>
    </w:rPr>
  </w:style>
  <w:style w:type="paragraph" w:styleId="P41">
    <w:name w:val="Number"/>
    <w:basedOn w:val="P4"/>
    <w:next w:val="P4"/>
    <w:pPr>
      <w:spacing w:after="0"/>
      <w:ind w:hanging="360" w:left="360"/>
    </w:pPr>
    <w:rPr/>
  </w:style>
  <w:style w:type="paragraph" w:styleId="P42">
    <w:name w:val="Tick"/>
    <w:basedOn w:val="P4"/>
    <w:next w:val="P4"/>
    <w:pPr>
      <w:spacing w:after="0"/>
      <w:ind w:hanging="360" w:left="720"/>
    </w:pPr>
    <w:rPr/>
  </w:style>
  <w:style w:type="paragraph" w:styleId="P43">
    <w:name w:val="TOC 1"/>
    <w:basedOn w:val="P4"/>
    <w:next w:val="P68"/>
    <w:pPr>
      <w:tabs>
        <w:tab w:val="right" w:pos="8640" w:leader="dot"/>
      </w:tabs>
      <w:spacing w:after="0"/>
    </w:pPr>
    <w:rPr>
      <w:b w:val="1"/>
    </w:rPr>
  </w:style>
  <w:style w:type="paragraph" w:styleId="P44">
    <w:name w:val="Comment Subject"/>
    <w:basedOn w:val="P5"/>
    <w:next w:val="P5"/>
    <w:link w:val="C11"/>
    <w:pPr>
      <w:spacing w:before="0"/>
    </w:pPr>
    <w:rPr>
      <w:rFonts w:ascii="Times New Roman" w:hAnsi="Times New Roman"/>
      <w:b w:val="1"/>
      <w:sz w:val="20"/>
    </w:rPr>
  </w:style>
  <w:style w:type="paragraph" w:styleId="P45">
    <w:name w:val="Heading 1"/>
    <w:basedOn w:val="P7"/>
    <w:next w:val="P4"/>
    <w:qFormat/>
    <w:pPr>
      <w:keepNext w:val="1"/>
      <w:numPr>
        <w:numId w:val="3"/>
      </w:numPr>
      <w:tabs>
        <w:tab w:val="clear" w:pos="432" w:leader="none"/>
        <w:tab w:val="left" w:pos="1008" w:leader="none"/>
      </w:tabs>
      <w:spacing w:after="160"/>
      <w:ind w:hanging="1008" w:left="1008"/>
      <w:outlineLvl w:val="0"/>
    </w:pPr>
    <w:rPr>
      <w:rFonts w:ascii="Arial" w:hAnsi="Arial"/>
      <w:b w:val="0"/>
      <w:caps w:val="1"/>
      <w:u w:val="single"/>
    </w:rPr>
  </w:style>
  <w:style w:type="paragraph" w:styleId="P46">
    <w:name w:val="Heading 2"/>
    <w:basedOn w:val="P7"/>
    <w:next w:val="P4"/>
    <w:qFormat/>
    <w:pPr>
      <w:keepNext w:val="1"/>
      <w:keepLines w:val="1"/>
      <w:numPr>
        <w:ilvl w:val="1"/>
        <w:numId w:val="3"/>
      </w:numPr>
      <w:spacing w:before="160" w:after="160"/>
      <w:outlineLvl w:val="1"/>
    </w:pPr>
    <w:rPr>
      <w:rFonts w:ascii="Arial" w:hAnsi="Arial"/>
      <w:b w:val="0"/>
    </w:rPr>
  </w:style>
  <w:style w:type="paragraph" w:styleId="P47">
    <w:name w:val="Heading 3"/>
    <w:basedOn w:val="P7"/>
    <w:next w:val="P47"/>
    <w:link w:val="C7"/>
    <w:qFormat/>
    <w:pPr>
      <w:numPr>
        <w:ilvl w:val="2"/>
        <w:numId w:val="3"/>
      </w:numPr>
      <w:tabs>
        <w:tab w:val="clear" w:pos="720" w:leader="none"/>
        <w:tab w:val="left" w:pos="4320" w:leader="none"/>
      </w:tabs>
      <w:spacing w:before="80"/>
      <w:ind w:hanging="720" w:left="4320"/>
      <w:outlineLvl w:val="2"/>
    </w:pPr>
    <w:rPr>
      <w:rFonts w:ascii="Arial" w:hAnsi="Arial"/>
      <w:b w:val="0"/>
    </w:rPr>
  </w:style>
  <w:style w:type="paragraph" w:styleId="P48">
    <w:name w:val="Heading 4"/>
    <w:basedOn w:val="P7"/>
    <w:next w:val="P48"/>
    <w:qFormat/>
    <w:pPr>
      <w:numPr>
        <w:ilvl w:val="3"/>
        <w:numId w:val="3"/>
      </w:numPr>
      <w:tabs>
        <w:tab w:val="clear" w:pos="864" w:leader="none"/>
        <w:tab w:val="left" w:pos="5040" w:leader="none"/>
      </w:tabs>
      <w:ind w:hanging="720" w:left="5040"/>
      <w:outlineLvl w:val="3"/>
    </w:pPr>
    <w:rPr>
      <w:rFonts w:ascii="Arial" w:hAnsi="Arial"/>
      <w:b w:val="0"/>
    </w:rPr>
  </w:style>
  <w:style w:type="paragraph" w:styleId="P49">
    <w:name w:val="Heading 5"/>
    <w:basedOn w:val="P7"/>
    <w:next w:val="P49"/>
    <w:qFormat/>
    <w:pPr>
      <w:numPr>
        <w:ilvl w:val="4"/>
        <w:numId w:val="3"/>
      </w:numPr>
      <w:tabs>
        <w:tab w:val="clear" w:pos="720" w:leader="none"/>
        <w:tab w:val="left" w:pos="5760" w:leader="none"/>
      </w:tabs>
      <w:ind w:hanging="720" w:left="5760"/>
      <w:outlineLvl w:val="4"/>
    </w:pPr>
    <w:rPr>
      <w:rFonts w:ascii="Arial" w:hAnsi="Arial"/>
      <w:b w:val="0"/>
    </w:rPr>
  </w:style>
  <w:style w:type="paragraph" w:styleId="P50">
    <w:name w:val="Heading 6"/>
    <w:basedOn w:val="P7"/>
    <w:next w:val="P4"/>
    <w:qFormat/>
    <w:pPr>
      <w:numPr>
        <w:ilvl w:val="5"/>
        <w:numId w:val="3"/>
      </w:numPr>
      <w:outlineLvl w:val="5"/>
    </w:pPr>
    <w:rPr>
      <w:i w:val="1"/>
      <w:sz w:val="24"/>
    </w:rPr>
  </w:style>
  <w:style w:type="paragraph" w:styleId="P51">
    <w:name w:val="Caption"/>
    <w:basedOn w:val="P7"/>
    <w:next w:val="P0"/>
    <w:qFormat/>
    <w:pPr>
      <w:keepNext w:val="1"/>
      <w:spacing w:after="240"/>
    </w:pPr>
    <w:rPr>
      <w:b w:val="0"/>
      <w:i w:val="1"/>
      <w:sz w:val="20"/>
    </w:rPr>
  </w:style>
  <w:style w:type="paragraph" w:styleId="P52">
    <w:name w:val="Exhibit--Number"/>
    <w:basedOn w:val="P7"/>
    <w:next w:val="P70"/>
    <w:pPr>
      <w:spacing w:before="160"/>
    </w:pPr>
    <w:rPr>
      <w:caps w:val="1"/>
      <w:sz w:val="18"/>
    </w:rPr>
  </w:style>
  <w:style w:type="paragraph" w:styleId="P53">
    <w:name w:val="Title"/>
    <w:basedOn w:val="P7"/>
    <w:next w:val="P53"/>
    <w:qFormat/>
    <w:pPr>
      <w:keepNext w:val="1"/>
      <w:spacing w:before="160" w:after="30"/>
    </w:pPr>
    <w:rPr>
      <w:sz w:val="20"/>
    </w:rPr>
  </w:style>
  <w:style w:type="paragraph" w:styleId="P54">
    <w:name w:val="Table Body"/>
    <w:basedOn w:val="P12"/>
    <w:next w:val="P54"/>
    <w:pPr>
      <w:jc w:val="left"/>
    </w:pPr>
    <w:rPr>
      <w:b w:val="0"/>
    </w:rPr>
  </w:style>
  <w:style w:type="paragraph" w:styleId="P55">
    <w:name w:val="Table Heading"/>
    <w:basedOn w:val="P21"/>
    <w:next w:val="P55"/>
    <w:pPr>
      <w:jc w:val="center"/>
    </w:pPr>
    <w:rPr>
      <w:b w:val="1"/>
    </w:rPr>
  </w:style>
  <w:style w:type="paragraph" w:styleId="P56">
    <w:name w:val="Table Heading2"/>
    <w:basedOn w:val="P21"/>
    <w:next w:val="P56"/>
    <w:pPr>
      <w:jc w:val="center"/>
    </w:pPr>
    <w:rPr>
      <w:b w:val="1"/>
    </w:rPr>
  </w:style>
  <w:style w:type="paragraph" w:styleId="P57">
    <w:name w:val="Table Heading4"/>
    <w:basedOn w:val="P21"/>
    <w:next w:val="P57"/>
    <w:pPr>
      <w:jc w:val="center"/>
    </w:pPr>
    <w:rPr>
      <w:b w:val="1"/>
    </w:rPr>
  </w:style>
  <w:style w:type="paragraph" w:styleId="P58">
    <w:name w:val="Table Heading5"/>
    <w:basedOn w:val="P21"/>
    <w:next w:val="P58"/>
    <w:pPr>
      <w:jc w:val="center"/>
    </w:pPr>
    <w:rPr>
      <w:b w:val="1"/>
    </w:rPr>
  </w:style>
  <w:style w:type="paragraph" w:styleId="P59">
    <w:name w:val="Table Heading6"/>
    <w:basedOn w:val="P21"/>
    <w:next w:val="P59"/>
    <w:pPr>
      <w:jc w:val="center"/>
    </w:pPr>
    <w:rPr>
      <w:b w:val="1"/>
    </w:rPr>
  </w:style>
  <w:style w:type="paragraph" w:styleId="P60">
    <w:name w:val="Table Heading9"/>
    <w:basedOn w:val="P21"/>
    <w:next w:val="P60"/>
    <w:pPr>
      <w:jc w:val="center"/>
    </w:pPr>
    <w:rPr>
      <w:b w:val="1"/>
    </w:rPr>
  </w:style>
  <w:style w:type="paragraph" w:styleId="P61">
    <w:name w:val="Table Heading10"/>
    <w:basedOn w:val="P21"/>
    <w:next w:val="P61"/>
    <w:pPr>
      <w:jc w:val="center"/>
    </w:pPr>
    <w:rPr>
      <w:b w:val="1"/>
    </w:rPr>
  </w:style>
  <w:style w:type="paragraph" w:styleId="P62">
    <w:name w:val="Table Heading11"/>
    <w:basedOn w:val="P21"/>
    <w:next w:val="P62"/>
    <w:pPr>
      <w:jc w:val="center"/>
    </w:pPr>
    <w:rPr>
      <w:b w:val="1"/>
    </w:rPr>
  </w:style>
  <w:style w:type="paragraph" w:styleId="P63">
    <w:name w:val="Table Heading13"/>
    <w:basedOn w:val="P21"/>
    <w:next w:val="P63"/>
    <w:pPr>
      <w:jc w:val="center"/>
    </w:pPr>
    <w:rPr>
      <w:b w:val="1"/>
    </w:rPr>
  </w:style>
  <w:style w:type="paragraph" w:styleId="P64">
    <w:name w:val="Table Heading14"/>
    <w:basedOn w:val="P21"/>
    <w:next w:val="P64"/>
    <w:pPr>
      <w:jc w:val="center"/>
    </w:pPr>
    <w:rPr>
      <w:b w:val="1"/>
    </w:rPr>
  </w:style>
  <w:style w:type="paragraph" w:styleId="P65">
    <w:name w:val="Table Heading15"/>
    <w:basedOn w:val="P21"/>
    <w:next w:val="P65"/>
    <w:pPr>
      <w:jc w:val="center"/>
    </w:pPr>
    <w:rPr>
      <w:b w:val="1"/>
    </w:rPr>
  </w:style>
  <w:style w:type="paragraph" w:styleId="P66">
    <w:name w:val="Table Heading16"/>
    <w:basedOn w:val="P21"/>
    <w:next w:val="P66"/>
    <w:pPr>
      <w:jc w:val="center"/>
    </w:pPr>
    <w:rPr>
      <w:b w:val="1"/>
    </w:rPr>
  </w:style>
  <w:style w:type="paragraph" w:styleId="P67">
    <w:name w:val="List Bullet"/>
    <w:basedOn w:val="P38"/>
    <w:next w:val="P67"/>
    <w:pPr>
      <w:numPr>
        <w:numId w:val="2"/>
      </w:numPr>
    </w:pPr>
    <w:rPr/>
  </w:style>
  <w:style w:type="paragraph" w:styleId="P68">
    <w:name w:val="TOC 2"/>
    <w:basedOn w:val="P43"/>
    <w:next w:val="P72"/>
    <w:pPr>
      <w:tabs>
        <w:tab w:val="left" w:pos="1008" w:leader="none"/>
      </w:tabs>
      <w:ind w:left="720"/>
    </w:pPr>
    <w:rPr>
      <w:b w:val="0"/>
    </w:rPr>
  </w:style>
  <w:style w:type="paragraph" w:styleId="P69">
    <w:name w:val="Contents"/>
    <w:basedOn w:val="P45"/>
    <w:next w:val="P4"/>
    <w:pPr/>
    <w:rPr/>
  </w:style>
  <w:style w:type="paragraph" w:styleId="P70">
    <w:name w:val="Exhibit--Title"/>
    <w:basedOn w:val="P52"/>
    <w:next w:val="P73"/>
    <w:pPr>
      <w:spacing w:before="0"/>
    </w:pPr>
    <w:rPr>
      <w:b w:val="1"/>
      <w:caps w:val="0"/>
      <w:sz w:val="20"/>
    </w:rPr>
  </w:style>
  <w:style w:type="paragraph" w:styleId="P71">
    <w:name w:val="Table Notes"/>
    <w:basedOn w:val="P54"/>
    <w:next w:val="P71"/>
    <w:pPr>
      <w:spacing w:after="320"/>
    </w:pPr>
    <w:rPr/>
  </w:style>
  <w:style w:type="paragraph" w:styleId="P72">
    <w:name w:val="TOC 3"/>
    <w:basedOn w:val="P68"/>
    <w:next w:val="P72"/>
    <w:pPr>
      <w:tabs>
        <w:tab w:val="clear" w:pos="1008" w:leader="none"/>
        <w:tab w:val="left" w:pos="1728" w:leader="none"/>
      </w:tabs>
      <w:ind w:left="1440"/>
    </w:pPr>
    <w:rPr/>
  </w:style>
  <w:style w:type="paragraph" w:styleId="P73">
    <w:name w:val="Exhibit--Caption"/>
    <w:basedOn w:val="P70"/>
    <w:next w:val="P4"/>
    <w:pPr/>
    <w:rPr>
      <w:i w:val="1"/>
    </w:rPr>
  </w:style>
  <w:style w:type="paragraph" w:styleId="P74">
    <w:name w:val="TOC 4"/>
    <w:basedOn w:val="P72"/>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7"/>
    <w:rPr>
      <w:rFonts w:ascii="Arial" w:hAnsi="Arial"/>
      <w:b w:val="0"/>
    </w:rPr>
  </w:style>
  <w:style w:type="character" w:styleId="C8">
    <w:name w:val="Choice"/>
    <w:rPr>
      <w:rFonts w:ascii="Times New Roman" w:hAnsi="Times New Roman"/>
      <w:b w:val="1"/>
      <w:sz w:val="24"/>
    </w:rPr>
  </w:style>
  <w:style w:type="character" w:styleId="C9">
    <w:name w:val="Balloon Text Char"/>
    <w:link w:val="P37"/>
    <w:rPr>
      <w:rFonts w:ascii="Tahoma" w:hAnsi="Tahoma"/>
      <w:sz w:val="16"/>
    </w:rPr>
  </w:style>
  <w:style w:type="character" w:styleId="C10">
    <w:name w:val="Comment Text Char"/>
    <w:link w:val="P5"/>
    <w:rPr>
      <w:rFonts w:ascii="Arial" w:hAnsi="Arial"/>
    </w:rPr>
  </w:style>
  <w:style w:type="character" w:styleId="C11">
    <w:name w:val="Comment Subject Char"/>
    <w:link w:val="P44"/>
    <w:rPr>
      <w:rFonts w:ascii="Times New Roman" w:hAnsi="Times New Roman"/>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2017-08-17T19:03:00Z</dcterms:created>
  <cp:lastModifiedBy>Ray</cp:lastModifiedBy>
  <cp:lastPrinted>2006-06-22T13:57:00Z</cp:lastPrinted>
  <dcterms:modified xsi:type="dcterms:W3CDTF">2022-10-04T19:39:02Z</dcterms:modified>
  <cp:revision>4</cp:revision>
  <dc:title>15200-17_PTFE-Lined_Steel_Pipe_And_Fittings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2017-08-16T00:00:00Z</vt:lpwstr>
  </property>
  <property fmtid="{D5CDD505-2E9C-101B-9397-08002B2CF9AE}" pid="4" name="_dlc_DocId">
    <vt:lpwstr>ENVCPD-83-1417</vt:lpwstr>
  </property>
  <property fmtid="{D5CDD505-2E9C-101B-9397-08002B2CF9AE}" pid="5" name="_dlc_DocIdItemGuid">
    <vt:lpwstr>f138a6c7-4cf2-413d-a0f1-8fe9a710d5c2</vt:lpwstr>
  </property>
  <property fmtid="{D5CDD505-2E9C-101B-9397-08002B2CF9AE}" pid="6" name="_dlc_DocIdUrl">
    <vt:lpwstr>https://mycloud.york.ca/projects/EnvServProgramDeliveryOffice/ProjectServer/AEL/_layouts/DocIdRedir.aspx?ID=ENVCPD-83-1417, ENVCPD-83-1417</vt:lpwstr>
  </property>
  <property fmtid="{D5CDD505-2E9C-101B-9397-08002B2CF9AE}" pid="7" name="ContentTypeId">
    <vt:lpwstr>0x0101001E76F5F51B06864FADA04BB3B6DF741B</vt:lpwstr>
  </property>
</Properties>
</file>