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11E841C4" Type="http://schemas.openxmlformats.org/officeDocument/2006/relationships/officeDocument" Target="word/document.xml"/><Relationship Id="coreR11E841C4" Type="http://schemas.openxmlformats.org/package/2006/relationships/metadata/core-properties" Target="docProps/core.xml"/><Relationship Id="customR11E841C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5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18,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5823674-v4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ASTM A193/A193M-16, ASTM A194/A194M-17, ASTM B462-15, ASTM B464-15, ASTM B474-15 </w:t>
            </w:r>
            <w:r>
              <w:rPr>
                <w:rFonts w:ascii="Calibri" w:hAnsi="Calibri"/>
                <w:b w:val="1"/>
                <w:sz w:val="22"/>
              </w:rPr>
              <w:t>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listed products (CPD, OMM)</w:t>
            </w:r>
          </w:p>
        </w:tc>
      </w:tr>
    </w:tbl>
    <w:p>
      <w:pPr>
        <w:pStyle w:val="P4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39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68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94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68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573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68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945" w:type="dxa"/>
            <w:tcBorders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 B464-15 seamless or automatically welded, or ASTM B474-15, electric fusion welded.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welded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Socket-weld, forged Alloy 20: 20,700 kPag WOG. Same schedule as pipe, ASTM B462-15.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Socket-weld tees in conformance with Fittings above.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Alloy 20: ASTM B462-15, ASME B16.5-2013 Class 150, 1.6 mm raised face. Socket-weld type.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Flanges: Type 316 stainless steel, ASTM A193/A193M-16 Grade B8M hex head bolts and ASTM A194/A194M-17 Grade 8M hex head nuts.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1.6 mm thick virgin Teflon or inorganic-filled Teflon flat ring type for raised face flanges. Complies with NSF-61. Minimum pressure rating of </w:t>
            </w:r>
            <w:r>
              <w:rPr>
                <w:rFonts w:ascii="Calibri" w:hAnsi="Calibri"/>
                <w:sz w:val="22"/>
                <w:highlight w:val="yellow"/>
              </w:rPr>
              <w:t>[5 MPa]</w:t>
            </w:r>
            <w:r>
              <w:rPr>
                <w:rFonts w:ascii="Calibri" w:hAnsi="Calibri"/>
                <w:sz w:val="22"/>
              </w:rPr>
              <w:t xml:space="preserve">, miniumum operating temperature below </w:t>
            </w:r>
            <w:r>
              <w:rPr>
                <w:rFonts w:ascii="Calibri" w:hAnsi="Calibri"/>
                <w:sz w:val="22"/>
                <w:highlight w:val="yellow"/>
              </w:rPr>
              <w:t>[-50˚C</w:t>
            </w:r>
            <w:r>
              <w:rPr>
                <w:rFonts w:ascii="Calibri" w:hAnsi="Calibri"/>
                <w:sz w:val="22"/>
              </w:rPr>
              <w:t xml:space="preserve">], maximum operation temperature above </w:t>
            </w:r>
            <w:r>
              <w:rPr>
                <w:rFonts w:ascii="Calibri" w:hAnsi="Calibri"/>
                <w:sz w:val="22"/>
                <w:highlight w:val="yellow"/>
              </w:rPr>
              <w:t>[100˚C</w:t>
            </w:r>
            <w:r>
              <w:rPr>
                <w:rFonts w:ascii="Calibri" w:hAnsi="Calibri"/>
                <w:sz w:val="22"/>
              </w:rPr>
              <w:t>].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945" w:type="dxa"/>
            <w:tcBorders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75 mm &amp; smaller</w:t>
            </w:r>
          </w:p>
        </w:tc>
        <w:tc>
          <w:tcPr>
            <w:tcW w:w="4573" w:type="dxa"/>
            <w:tcBorders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15200-18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ALLOY 20 PIPE AND FITTINGS</w:t>
    </w:r>
    <w:r>
      <w:rPr>
        <w:rFonts w:ascii="Calibri" w:hAnsi="Calibri"/>
        <w:sz w:val="22"/>
      </w:rPr>
      <w:tab/>
      <w:t>2014-08-18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rFonts w:ascii="Calibri" w:hAnsi="Calibri"/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15200-18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DOUBLE WALL CONTAINMENT PIPING</w:t>
    </w:r>
    <w:r>
      <w:rPr>
        <w:rFonts w:ascii="Calibri (Body)" w:hAnsi="Calibri (Body)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15200-18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2017-08-16</w:t>
    </w:r>
    <w:r>
      <w:rPr>
        <w:rFonts w:ascii="Calibri (Body)" w:hAnsi="Calibri (Body)"/>
        <w:b w:val="1"/>
        <w:sz w:val="22"/>
      </w:rPr>
      <w:tab/>
      <w:t>DOUBLE WALL CONTAINMENT PIPING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2BE7151F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6E624C8"/>
    <w:multiLevelType w:val="multilevel"/>
    <w:lvl w:ilvl="0">
      <w:start w:val="1"/>
      <w:numFmt w:val="decimal"/>
      <w:suff w:val="tab"/>
      <w:lvlText w:val="%1."/>
      <w:lvlJc w:val="left"/>
      <w:pPr>
        <w:ind w:hanging="360" w:left="7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</w:pPr>
      <w:rPr/>
    </w:lvl>
  </w:abstractNum>
  <w:abstractNum w:abstractNumId="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Table Text9"/>
    <w:basedOn w:val="P0"/>
    <w:next w:val="P29"/>
    <w:pPr>
      <w:spacing w:before="120"/>
    </w:pPr>
    <w:rPr/>
  </w:style>
  <w:style w:type="paragraph" w:styleId="P30">
    <w:name w:val="Table Text10"/>
    <w:basedOn w:val="P0"/>
    <w:next w:val="P30"/>
    <w:pPr>
      <w:spacing w:before="120"/>
    </w:pPr>
    <w:rPr/>
  </w:style>
  <w:style w:type="paragraph" w:styleId="P31">
    <w:name w:val="Table Text11"/>
    <w:basedOn w:val="P0"/>
    <w:next w:val="P31"/>
    <w:pPr>
      <w:spacing w:before="120"/>
    </w:pPr>
    <w:rPr/>
  </w:style>
  <w:style w:type="paragraph" w:styleId="P32">
    <w:name w:val="Table Text14"/>
    <w:basedOn w:val="P0"/>
    <w:next w:val="P32"/>
    <w:pPr>
      <w:spacing w:before="120"/>
    </w:pPr>
    <w:rPr/>
  </w:style>
  <w:style w:type="paragraph" w:styleId="P33">
    <w:name w:val="Table Text15"/>
    <w:basedOn w:val="P0"/>
    <w:next w:val="P33"/>
    <w:pPr>
      <w:spacing w:before="120"/>
    </w:pPr>
    <w:rPr/>
  </w:style>
  <w:style w:type="paragraph" w:styleId="P34">
    <w:name w:val="Table Text16"/>
    <w:basedOn w:val="P0"/>
    <w:next w:val="P34"/>
    <w:pPr>
      <w:spacing w:before="120"/>
    </w:pPr>
    <w:rPr/>
  </w:style>
  <w:style w:type="paragraph" w:styleId="P35">
    <w:name w:val="Table Text17"/>
    <w:basedOn w:val="P0"/>
    <w:next w:val="P35"/>
    <w:pPr>
      <w:spacing w:before="120"/>
    </w:pPr>
    <w:rPr/>
  </w:style>
  <w:style w:type="paragraph" w:styleId="P36">
    <w:name w:val="Table Text18"/>
    <w:basedOn w:val="P0"/>
    <w:next w:val="P36"/>
    <w:pPr>
      <w:spacing w:before="120"/>
    </w:pPr>
    <w:rPr/>
  </w:style>
  <w:style w:type="paragraph" w:styleId="P37">
    <w:name w:val="Normal Table Text"/>
    <w:basedOn w:val="P0"/>
    <w:next w:val="P37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8">
    <w:name w:val="Balloon Text"/>
    <w:basedOn w:val="P0"/>
    <w:next w:val="P38"/>
    <w:link w:val="C9"/>
    <w:pPr/>
    <w:rPr>
      <w:rFonts w:ascii="Tahoma" w:hAnsi="Tahoma"/>
      <w:sz w:val="16"/>
    </w:rPr>
  </w:style>
  <w:style w:type="paragraph" w:styleId="P39">
    <w:name w:val="Bullet"/>
    <w:basedOn w:val="P4"/>
    <w:next w:val="P4"/>
    <w:pPr/>
    <w:rPr/>
  </w:style>
  <w:style w:type="paragraph" w:styleId="P40">
    <w:name w:val="CSA"/>
    <w:basedOn w:val="P4"/>
    <w:next w:val="P46"/>
    <w:pPr>
      <w:keepNext w:val="1"/>
      <w:spacing w:after="0"/>
    </w:pPr>
    <w:rPr>
      <w:b w:val="1"/>
      <w:caps w:val="1"/>
      <w:sz w:val="20"/>
    </w:rPr>
  </w:style>
  <w:style w:type="paragraph" w:styleId="P41">
    <w:name w:val="Footnote Text"/>
    <w:basedOn w:val="P4"/>
    <w:next w:val="P41"/>
    <w:pPr>
      <w:spacing w:after="0"/>
    </w:pPr>
    <w:rPr>
      <w:rFonts w:ascii="Arial" w:hAnsi="Arial"/>
      <w:sz w:val="16"/>
    </w:rPr>
  </w:style>
  <w:style w:type="paragraph" w:styleId="P42">
    <w:name w:val="Number"/>
    <w:basedOn w:val="P4"/>
    <w:next w:val="P4"/>
    <w:pPr>
      <w:spacing w:after="0"/>
      <w:ind w:hanging="360" w:left="360"/>
    </w:pPr>
    <w:rPr/>
  </w:style>
  <w:style w:type="paragraph" w:styleId="P43">
    <w:name w:val="Tick"/>
    <w:basedOn w:val="P4"/>
    <w:next w:val="P4"/>
    <w:pPr>
      <w:spacing w:after="0"/>
      <w:ind w:hanging="360" w:left="720"/>
    </w:pPr>
    <w:rPr/>
  </w:style>
  <w:style w:type="paragraph" w:styleId="P44">
    <w:name w:val="TOC 1"/>
    <w:basedOn w:val="P4"/>
    <w:next w:val="P70"/>
    <w:pPr>
      <w:tabs>
        <w:tab w:val="right" w:pos="8640" w:leader="dot"/>
      </w:tabs>
      <w:spacing w:after="0"/>
    </w:pPr>
    <w:rPr>
      <w:b w:val="1"/>
    </w:rPr>
  </w:style>
  <w:style w:type="paragraph" w:styleId="P45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46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7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8">
    <w:name w:val="Heading 3"/>
    <w:basedOn w:val="P7"/>
    <w:next w:val="P48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9">
    <w:name w:val="Heading 4"/>
    <w:basedOn w:val="P7"/>
    <w:next w:val="P49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50">
    <w:name w:val="Heading 5"/>
    <w:basedOn w:val="P7"/>
    <w:next w:val="P50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51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52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53">
    <w:name w:val="Exhibit--Number"/>
    <w:basedOn w:val="P7"/>
    <w:next w:val="P72"/>
    <w:pPr>
      <w:spacing w:before="160"/>
    </w:pPr>
    <w:rPr>
      <w:caps w:val="1"/>
      <w:sz w:val="18"/>
    </w:rPr>
  </w:style>
  <w:style w:type="paragraph" w:styleId="P54">
    <w:name w:val="Title"/>
    <w:basedOn w:val="P7"/>
    <w:next w:val="P54"/>
    <w:qFormat/>
    <w:pPr>
      <w:keepNext w:val="1"/>
      <w:spacing w:before="160" w:after="30"/>
    </w:pPr>
    <w:rPr>
      <w:sz w:val="20"/>
    </w:rPr>
  </w:style>
  <w:style w:type="paragraph" w:styleId="P55">
    <w:name w:val="Table Body"/>
    <w:basedOn w:val="P12"/>
    <w:next w:val="P55"/>
    <w:pPr>
      <w:jc w:val="left"/>
    </w:pPr>
    <w:rPr>
      <w:b w:val="0"/>
    </w:rPr>
  </w:style>
  <w:style w:type="paragraph" w:styleId="P56">
    <w:name w:val="Table Heading"/>
    <w:basedOn w:val="P21"/>
    <w:next w:val="P56"/>
    <w:pPr>
      <w:jc w:val="center"/>
    </w:pPr>
    <w:rPr>
      <w:b w:val="1"/>
    </w:rPr>
  </w:style>
  <w:style w:type="paragraph" w:styleId="P57">
    <w:name w:val="Table Heading2"/>
    <w:basedOn w:val="P21"/>
    <w:next w:val="P57"/>
    <w:pPr>
      <w:jc w:val="center"/>
    </w:pPr>
    <w:rPr>
      <w:b w:val="1"/>
    </w:rPr>
  </w:style>
  <w:style w:type="paragraph" w:styleId="P58">
    <w:name w:val="Table Heading4"/>
    <w:basedOn w:val="P21"/>
    <w:next w:val="P58"/>
    <w:pPr>
      <w:jc w:val="center"/>
    </w:pPr>
    <w:rPr>
      <w:b w:val="1"/>
    </w:rPr>
  </w:style>
  <w:style w:type="paragraph" w:styleId="P59">
    <w:name w:val="Table Heading5"/>
    <w:basedOn w:val="P21"/>
    <w:next w:val="P59"/>
    <w:pPr>
      <w:jc w:val="center"/>
    </w:pPr>
    <w:rPr>
      <w:b w:val="1"/>
    </w:rPr>
  </w:style>
  <w:style w:type="paragraph" w:styleId="P60">
    <w:name w:val="Table Heading6"/>
    <w:basedOn w:val="P21"/>
    <w:next w:val="P60"/>
    <w:pPr>
      <w:jc w:val="center"/>
    </w:pPr>
    <w:rPr>
      <w:b w:val="1"/>
    </w:rPr>
  </w:style>
  <w:style w:type="paragraph" w:styleId="P61">
    <w:name w:val="Table Heading9"/>
    <w:basedOn w:val="P21"/>
    <w:next w:val="P61"/>
    <w:pPr>
      <w:jc w:val="center"/>
    </w:pPr>
    <w:rPr>
      <w:b w:val="1"/>
    </w:rPr>
  </w:style>
  <w:style w:type="paragraph" w:styleId="P62">
    <w:name w:val="Table Heading10"/>
    <w:basedOn w:val="P21"/>
    <w:next w:val="P62"/>
    <w:pPr>
      <w:jc w:val="center"/>
    </w:pPr>
    <w:rPr>
      <w:b w:val="1"/>
    </w:rPr>
  </w:style>
  <w:style w:type="paragraph" w:styleId="P63">
    <w:name w:val="Table Heading11"/>
    <w:basedOn w:val="P21"/>
    <w:next w:val="P63"/>
    <w:pPr>
      <w:jc w:val="center"/>
    </w:pPr>
    <w:rPr>
      <w:b w:val="1"/>
    </w:rPr>
  </w:style>
  <w:style w:type="paragraph" w:styleId="P64">
    <w:name w:val="Table Heading13"/>
    <w:basedOn w:val="P21"/>
    <w:next w:val="P64"/>
    <w:pPr>
      <w:jc w:val="center"/>
    </w:pPr>
    <w:rPr>
      <w:b w:val="1"/>
    </w:rPr>
  </w:style>
  <w:style w:type="paragraph" w:styleId="P65">
    <w:name w:val="Table Heading14"/>
    <w:basedOn w:val="P21"/>
    <w:next w:val="P65"/>
    <w:pPr>
      <w:jc w:val="center"/>
    </w:pPr>
    <w:rPr>
      <w:b w:val="1"/>
    </w:rPr>
  </w:style>
  <w:style w:type="paragraph" w:styleId="P66">
    <w:name w:val="Table Heading15"/>
    <w:basedOn w:val="P21"/>
    <w:next w:val="P66"/>
    <w:pPr>
      <w:jc w:val="center"/>
    </w:pPr>
    <w:rPr>
      <w:b w:val="1"/>
    </w:rPr>
  </w:style>
  <w:style w:type="paragraph" w:styleId="P67">
    <w:name w:val="Table Heading16"/>
    <w:basedOn w:val="P21"/>
    <w:next w:val="P67"/>
    <w:pPr>
      <w:jc w:val="center"/>
    </w:pPr>
    <w:rPr>
      <w:b w:val="1"/>
    </w:rPr>
  </w:style>
  <w:style w:type="paragraph" w:styleId="P68">
    <w:name w:val="Table Heading17"/>
    <w:basedOn w:val="P21"/>
    <w:next w:val="P68"/>
    <w:pPr>
      <w:jc w:val="center"/>
    </w:pPr>
    <w:rPr>
      <w:b w:val="1"/>
    </w:rPr>
  </w:style>
  <w:style w:type="paragraph" w:styleId="P69">
    <w:name w:val="List Bullet"/>
    <w:basedOn w:val="P39"/>
    <w:next w:val="P69"/>
    <w:pPr>
      <w:numPr>
        <w:numId w:val="2"/>
      </w:numPr>
    </w:pPr>
    <w:rPr/>
  </w:style>
  <w:style w:type="paragraph" w:styleId="P70">
    <w:name w:val="TOC 2"/>
    <w:basedOn w:val="P44"/>
    <w:next w:val="P74"/>
    <w:pPr>
      <w:tabs>
        <w:tab w:val="left" w:pos="1008" w:leader="none"/>
      </w:tabs>
      <w:ind w:left="720"/>
    </w:pPr>
    <w:rPr>
      <w:b w:val="0"/>
    </w:rPr>
  </w:style>
  <w:style w:type="paragraph" w:styleId="P71">
    <w:name w:val="Contents"/>
    <w:basedOn w:val="P46"/>
    <w:next w:val="P4"/>
    <w:pPr/>
    <w:rPr/>
  </w:style>
  <w:style w:type="paragraph" w:styleId="P72">
    <w:name w:val="Exhibit--Title"/>
    <w:basedOn w:val="P53"/>
    <w:next w:val="P75"/>
    <w:pPr>
      <w:spacing w:before="0"/>
    </w:pPr>
    <w:rPr>
      <w:b w:val="1"/>
      <w:caps w:val="0"/>
      <w:sz w:val="20"/>
    </w:rPr>
  </w:style>
  <w:style w:type="paragraph" w:styleId="P73">
    <w:name w:val="Table Notes"/>
    <w:basedOn w:val="P55"/>
    <w:next w:val="P73"/>
    <w:pPr>
      <w:spacing w:after="320"/>
    </w:pPr>
    <w:rPr/>
  </w:style>
  <w:style w:type="paragraph" w:styleId="P74">
    <w:name w:val="TOC 3"/>
    <w:basedOn w:val="P70"/>
    <w:next w:val="P74"/>
    <w:pPr>
      <w:tabs>
        <w:tab w:val="clear" w:pos="1008" w:leader="none"/>
        <w:tab w:val="left" w:pos="1728" w:leader="none"/>
      </w:tabs>
      <w:ind w:left="1440"/>
    </w:pPr>
    <w:rPr/>
  </w:style>
  <w:style w:type="paragraph" w:styleId="P75">
    <w:name w:val="Exhibit--Caption"/>
    <w:basedOn w:val="P72"/>
    <w:next w:val="P4"/>
    <w:pPr/>
    <w:rPr>
      <w:i w:val="1"/>
    </w:rPr>
  </w:style>
  <w:style w:type="paragraph" w:styleId="P76">
    <w:name w:val="TOC 4"/>
    <w:basedOn w:val="P74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8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8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45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2017-08-17T19:06:00Z</dcterms:created>
  <cp:lastModifiedBy>Ray</cp:lastModifiedBy>
  <cp:lastPrinted>2006-06-22T13:57:00Z</cp:lastPrinted>
  <dcterms:modified xsi:type="dcterms:W3CDTF">2022-10-04T19:39:02Z</dcterms:modified>
  <cp:revision>4</cp:revision>
  <dc:title>15200-18_Alloy_20_Pipe_And_Fittings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ENVCPD-83-1418</vt:lpwstr>
  </property>
  <property fmtid="{D5CDD505-2E9C-101B-9397-08002B2CF9AE}" pid="5" name="_dlc_DocIdItemGuid">
    <vt:lpwstr>30b12c3e-d3c9-46df-ae70-8c6fa5e06eec</vt:lpwstr>
  </property>
  <property fmtid="{D5CDD505-2E9C-101B-9397-08002B2CF9AE}" pid="6" name="_dlc_DocIdUrl">
    <vt:lpwstr>https://mycloud.york.ca/projects/EnvServProgramDeliveryOffice/ProjectServer/AEL/_layouts/DocIdRedir.aspx?ID=ENVCPD-83-1418, ENVCPD-83-1418</vt:lpwstr>
  </property>
  <property fmtid="{D5CDD505-2E9C-101B-9397-08002B2CF9AE}" pid="7" name="ContentTypeId">
    <vt:lpwstr>0x0101001E76F5F51B06864FADA04BB3B6DF741B</vt:lpwstr>
  </property>
</Properties>
</file>