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B8BC784" Type="http://schemas.openxmlformats.org/officeDocument/2006/relationships/officeDocument" Target="word/document.xml"/><Relationship Id="coreR4B8BC784" Type="http://schemas.openxmlformats.org/package/2006/relationships/metadata/core-properties" Target="docProps/core.xml"/><Relationship Id="customR4B8BC78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57"/>
              <w:rPr>
                <w:rFonts w:ascii="Calibri" w:hAnsi="Calibri"/>
              </w:rPr>
            </w:pPr>
            <w:r>
              <w:rPr>
                <w:rFonts w:ascii="Calibri" w:hAnsi="Calibri"/>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57"/>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7"/>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8"/>
              <w:jc w:val="center"/>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August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8"/>
              <w:jc w:val="center"/>
              <w:rPr>
                <w:rFonts w:ascii="Calibri" w:hAnsi="Calibri"/>
                <w:sz w:val="22"/>
              </w:rPr>
            </w:pPr>
            <w:r>
              <w:rPr>
                <w:rFonts w:ascii="Calibri" w:hAnsi="Calibri"/>
                <w:sz w:val="22"/>
              </w:rPr>
              <w:t>First draft review comments (AV)</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8"/>
              <w:jc w:val="center"/>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38"/>
              <w:jc w:val="center"/>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38"/>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38"/>
              <w:jc w:val="center"/>
              <w:rPr>
                <w:rFonts w:ascii="Calibri" w:hAnsi="Calibri"/>
                <w:sz w:val="22"/>
              </w:rPr>
            </w:pPr>
            <w:r>
              <w:rPr>
                <w:rFonts w:ascii="Calibri" w:hAnsi="Calibri"/>
                <w:b w:val="1"/>
                <w:sz w:val="22"/>
              </w:rPr>
              <w:t>Updated, Finalized Specification – Reference eDOCS #</w:t>
            </w:r>
            <w:r>
              <w:rPr>
                <w:rFonts w:ascii="Calibri" w:hAnsi="Calibri"/>
                <w:b w:val="1"/>
                <w:sz w:val="22"/>
              </w:rPr>
              <w:t>5823675-v4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38"/>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double" w:sz="6" w:space="0" w:shadow="0" w:frame="0"/>
              <w:right w:val="single" w:sz="6" w:space="0" w:shadow="0" w:frame="0"/>
            </w:tcBorders>
            <w:vAlign w:val="center"/>
          </w:tcPr>
          <w:p>
            <w:pPr>
              <w:pStyle w:val="P38"/>
              <w:jc w:val="center"/>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38"/>
              <w:jc w:val="center"/>
              <w:rPr>
                <w:rFonts w:ascii="Calibri" w:hAnsi="Calibri"/>
                <w:sz w:val="22"/>
              </w:rPr>
            </w:pPr>
            <w:r>
              <w:rPr>
                <w:rFonts w:ascii="Calibri" w:hAnsi="Calibri"/>
                <w:sz w:val="22"/>
              </w:rPr>
              <w:t xml:space="preserve">Updated references to standards ASTM A193/A193M-16, ASTM A194/A194M-17, ASTM D3222-05(2015), </w:t>
            </w:r>
            <w:r>
              <w:rPr>
                <w:rFonts w:ascii="Calibri" w:hAnsi="Calibri"/>
                <w:b w:val="1"/>
                <w:sz w:val="22"/>
              </w:rPr>
              <w:t>(AAM)</w:t>
            </w:r>
          </w:p>
        </w:tc>
      </w:tr>
    </w:tbl>
    <w:p>
      <w:pPr>
        <w:pStyle w:val="P47"/>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7"/>
        <w:numPr>
          <w:ilvl w:val="0"/>
          <w:numId w:val="0"/>
        </w:numPr>
        <w:tabs>
          <w:tab w:val="clear" w:pos="1008" w:leader="none"/>
          <w:tab w:val="left" w:pos="1080" w:leader="none"/>
        </w:tabs>
        <w:rPr>
          <w:rFonts w:ascii="Calibri" w:hAnsi="Calibri"/>
        </w:rPr>
      </w:pPr>
    </w:p>
    <w:p>
      <w:pPr>
        <w:rPr>
          <w:rFonts w:ascii="Calibri" w:hAnsi="Calibri"/>
        </w:rPr>
      </w:pPr>
      <w: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2094" w:type="dxa"/>
            <w:tcBorders>
              <w:top w:val="double" w:sz="6" w:space="0" w:shadow="0" w:frame="0"/>
              <w:left w:val="double" w:sz="6" w:space="0" w:shadow="0" w:frame="0"/>
              <w:bottom w:val="double" w:sz="6" w:space="0" w:shadow="0" w:frame="0"/>
            </w:tcBorders>
          </w:tcPr>
          <w:p>
            <w:pPr>
              <w:pStyle w:val="P70"/>
              <w:spacing w:before="60" w:after="60"/>
              <w:rPr>
                <w:rFonts w:ascii="Calibri" w:hAnsi="Calibri"/>
                <w:sz w:val="22"/>
              </w:rPr>
            </w:pPr>
            <w:r>
              <w:rPr>
                <w:rFonts w:ascii="Calibri" w:hAnsi="Calibri"/>
                <w:sz w:val="22"/>
              </w:rPr>
              <w:t>Item</w:t>
            </w:r>
          </w:p>
        </w:tc>
        <w:tc>
          <w:tcPr>
            <w:tcW w:w="1499" w:type="dxa"/>
            <w:tcBorders>
              <w:top w:val="double" w:sz="6" w:space="0" w:shadow="0" w:frame="0"/>
              <w:left w:val="single" w:sz="6" w:space="0" w:shadow="0" w:frame="0"/>
              <w:bottom w:val="double" w:sz="6" w:space="0" w:shadow="0" w:frame="0"/>
            </w:tcBorders>
          </w:tcPr>
          <w:p>
            <w:pPr>
              <w:pStyle w:val="P70"/>
              <w:spacing w:before="60" w:after="60"/>
              <w:rPr>
                <w:rFonts w:ascii="Calibri" w:hAnsi="Calibri"/>
                <w:sz w:val="22"/>
              </w:rPr>
            </w:pPr>
            <w:r>
              <w:rPr>
                <w:rFonts w:ascii="Calibri" w:hAnsi="Calibri"/>
                <w:sz w:val="22"/>
              </w:rPr>
              <w:t>Size</w:t>
            </w:r>
          </w:p>
        </w:tc>
        <w:tc>
          <w:tcPr>
            <w:tcW w:w="5407" w:type="dxa"/>
            <w:tcBorders>
              <w:top w:val="double" w:sz="6" w:space="0" w:shadow="0" w:frame="0"/>
              <w:left w:val="single" w:sz="6" w:space="0" w:shadow="0" w:frame="0"/>
              <w:bottom w:val="double" w:sz="6" w:space="0" w:shadow="0" w:frame="0"/>
              <w:right w:val="double" w:sz="6" w:space="0" w:shadow="0" w:frame="0"/>
            </w:tcBorders>
          </w:tcPr>
          <w:p>
            <w:pPr>
              <w:pStyle w:val="P70"/>
              <w:spacing w:before="60" w:after="60"/>
              <w:rPr>
                <w:rFonts w:ascii="Calibri" w:hAnsi="Calibri"/>
                <w:sz w:val="22"/>
              </w:rPr>
            </w:pPr>
            <w:r>
              <w:rPr>
                <w:rFonts w:ascii="Calibri" w:hAnsi="Calibri"/>
                <w:sz w:val="22"/>
              </w:rPr>
              <w:t>Description</w:t>
            </w:r>
          </w:p>
        </w:tc>
      </w:tr>
      <w:tr>
        <w:trPr>
          <w:wAfter w:w="0" w:type="dxa"/>
        </w:trPr>
        <w:tc>
          <w:tcPr>
            <w:tcW w:w="2094" w:type="dxa"/>
            <w:tcBorders>
              <w:left w:val="double" w:sz="6" w:space="0" w:shadow="0" w:frame="0"/>
            </w:tcBorders>
          </w:tcPr>
          <w:p>
            <w:pPr>
              <w:pStyle w:val="P37"/>
              <w:spacing w:before="60" w:after="60"/>
              <w:rPr>
                <w:rFonts w:ascii="Calibri" w:hAnsi="Calibri"/>
                <w:sz w:val="22"/>
              </w:rPr>
            </w:pPr>
            <w:r>
              <w:rPr>
                <w:rFonts w:ascii="Calibri" w:hAnsi="Calibri"/>
                <w:sz w:val="22"/>
              </w:rPr>
              <w:t>Pipe</w:t>
            </w:r>
          </w:p>
        </w:tc>
        <w:tc>
          <w:tcPr>
            <w:tcW w:w="1499" w:type="dxa"/>
            <w:tcBorders>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PVDF: Type I of ASTM D3222-05(2015), conforming to the requirements of ASTM D2837-13e1. Use un-pigmented PVDF resin and size according to SDR system to 1,580 kPa for sizes 10 mm to 64 mm and 1,035 kPa for 80 mm through 300 mm at 23 C.</w:t>
            </w:r>
          </w:p>
        </w:tc>
      </w:tr>
      <w:tr>
        <w:trPr>
          <w:wAfter w:w="0" w:type="dxa"/>
        </w:trPr>
        <w:tc>
          <w:tcPr>
            <w:tcW w:w="2094" w:type="dxa"/>
            <w:tcBorders>
              <w:top w:val="single" w:sz="6" w:space="0" w:shadow="0" w:frame="0"/>
              <w:left w:val="double" w:sz="6" w:space="0" w:shadow="0" w:frame="0"/>
            </w:tcBorders>
          </w:tcPr>
          <w:p>
            <w:pPr>
              <w:pStyle w:val="P37"/>
              <w:spacing w:before="60" w:after="60"/>
              <w:rPr>
                <w:rFonts w:ascii="Calibri" w:hAnsi="Calibri"/>
                <w:sz w:val="22"/>
              </w:rPr>
            </w:pPr>
            <w:r>
              <w:rPr>
                <w:rFonts w:ascii="Calibri" w:hAnsi="Calibri"/>
                <w:sz w:val="22"/>
              </w:rPr>
              <w:t>Fittings</w:t>
            </w:r>
          </w:p>
        </w:tc>
        <w:tc>
          <w:tcPr>
            <w:tcW w:w="1499" w:type="dxa"/>
            <w:tcBorders>
              <w:top w:val="single" w:sz="6" w:space="0" w:shadow="0" w:frame="0"/>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PVDF as specified under Pipe above. All pressure fittings shall be injection mold for butt fusion.</w:t>
            </w:r>
          </w:p>
        </w:tc>
      </w:tr>
      <w:tr>
        <w:trPr>
          <w:wAfter w:w="0" w:type="dxa"/>
        </w:trPr>
        <w:tc>
          <w:tcPr>
            <w:tcW w:w="2094" w:type="dxa"/>
            <w:tcBorders>
              <w:top w:val="single" w:sz="6" w:space="0" w:shadow="0" w:frame="0"/>
              <w:left w:val="double" w:sz="6" w:space="0" w:shadow="0" w:frame="0"/>
            </w:tcBorders>
          </w:tcPr>
          <w:p>
            <w:pPr>
              <w:pStyle w:val="P37"/>
              <w:spacing w:before="60" w:after="60"/>
              <w:rPr>
                <w:rFonts w:ascii="Calibri" w:hAnsi="Calibri"/>
                <w:sz w:val="22"/>
              </w:rPr>
            </w:pPr>
            <w:r>
              <w:rPr>
                <w:rFonts w:ascii="Calibri" w:hAnsi="Calibri"/>
                <w:sz w:val="22"/>
              </w:rPr>
              <w:t>Joints</w:t>
            </w:r>
          </w:p>
        </w:tc>
        <w:tc>
          <w:tcPr>
            <w:tcW w:w="1499" w:type="dxa"/>
            <w:tcBorders>
              <w:top w:val="single" w:sz="6" w:space="0" w:shadow="0" w:frame="0"/>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Butt Fusion. Temperatures, times, and pressures of fusion shall be according to the manufacturer. Pipe joining equipment shall be provided by the pipe and fitting manufacturer.</w:t>
            </w:r>
          </w:p>
        </w:tc>
      </w:tr>
      <w:tr>
        <w:trPr>
          <w:wAfter w:w="0" w:type="dxa"/>
        </w:trPr>
        <w:tc>
          <w:tcPr>
            <w:tcW w:w="2094" w:type="dxa"/>
            <w:tcBorders>
              <w:top w:val="single" w:sz="6" w:space="0" w:shadow="0" w:frame="0"/>
              <w:left w:val="double" w:sz="6" w:space="0" w:shadow="0" w:frame="0"/>
            </w:tcBorders>
          </w:tcPr>
          <w:p>
            <w:pPr>
              <w:pStyle w:val="P37"/>
              <w:spacing w:before="60" w:after="60"/>
              <w:rPr>
                <w:rFonts w:ascii="Calibri" w:hAnsi="Calibri"/>
                <w:sz w:val="22"/>
              </w:rPr>
            </w:pPr>
            <w:r>
              <w:rPr>
                <w:rFonts w:ascii="Calibri" w:hAnsi="Calibri"/>
                <w:sz w:val="22"/>
              </w:rPr>
              <w:t>Flanges</w:t>
            </w:r>
          </w:p>
        </w:tc>
        <w:tc>
          <w:tcPr>
            <w:tcW w:w="1499" w:type="dxa"/>
            <w:tcBorders>
              <w:top w:val="single" w:sz="6" w:space="0" w:shadow="0" w:frame="0"/>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Stub end and polypropylene coated steel backing ring with ANSI, 150-pound bolt hole pattern. Follow manufacturers torque and tightening procedures.</w:t>
            </w:r>
          </w:p>
        </w:tc>
      </w:tr>
      <w:tr>
        <w:trPr>
          <w:wAfter w:w="0" w:type="dxa"/>
        </w:trPr>
        <w:tc>
          <w:tcPr>
            <w:tcW w:w="2094" w:type="dxa"/>
            <w:tcBorders>
              <w:top w:val="single" w:sz="6" w:space="0" w:shadow="0" w:frame="0"/>
              <w:left w:val="double" w:sz="6" w:space="0" w:shadow="0" w:frame="0"/>
            </w:tcBorders>
          </w:tcPr>
          <w:p>
            <w:pPr>
              <w:pStyle w:val="P37"/>
              <w:spacing w:before="60" w:after="60"/>
              <w:rPr>
                <w:rFonts w:ascii="Calibri" w:hAnsi="Calibri"/>
                <w:sz w:val="22"/>
              </w:rPr>
            </w:pPr>
            <w:r>
              <w:rPr>
                <w:rFonts w:ascii="Calibri" w:hAnsi="Calibri"/>
                <w:sz w:val="22"/>
              </w:rPr>
              <w:t>Bolting</w:t>
            </w:r>
          </w:p>
        </w:tc>
        <w:tc>
          <w:tcPr>
            <w:tcW w:w="1499" w:type="dxa"/>
            <w:tcBorders>
              <w:top w:val="single" w:sz="6" w:space="0" w:shadow="0" w:frame="0"/>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ASTM A193/A193M-16 Rev A Type 316 stainless steel Grade B8M hex head bolts and ASTM A194/A194M-17 Grade 8M hex head nuts.</w:t>
            </w:r>
          </w:p>
        </w:tc>
      </w:tr>
      <w:tr>
        <w:trPr>
          <w:wAfter w:w="0" w:type="dxa"/>
        </w:trPr>
        <w:tc>
          <w:tcPr>
            <w:tcW w:w="2094" w:type="dxa"/>
            <w:tcBorders>
              <w:top w:val="single" w:sz="6" w:space="0" w:shadow="0" w:frame="0"/>
              <w:left w:val="double" w:sz="6" w:space="0" w:shadow="0" w:frame="0"/>
              <w:bottom w:val="double" w:sz="6" w:space="0" w:shadow="0" w:frame="0"/>
            </w:tcBorders>
          </w:tcPr>
          <w:p>
            <w:pPr>
              <w:pStyle w:val="P37"/>
              <w:spacing w:before="60" w:after="60"/>
              <w:rPr>
                <w:rFonts w:ascii="Calibri" w:hAnsi="Calibri"/>
                <w:sz w:val="22"/>
              </w:rPr>
            </w:pPr>
            <w:r>
              <w:rPr>
                <w:rFonts w:ascii="Calibri" w:hAnsi="Calibri"/>
                <w:sz w:val="22"/>
              </w:rPr>
              <w:t>Gaskets</w:t>
            </w:r>
          </w:p>
        </w:tc>
        <w:tc>
          <w:tcPr>
            <w:tcW w:w="1499" w:type="dxa"/>
            <w:tcBorders>
              <w:top w:val="single" w:sz="6" w:space="0" w:shadow="0" w:frame="0"/>
              <w:left w:val="single" w:sz="6" w:space="0" w:shadow="0" w:frame="0"/>
              <w:bottom w:val="doub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bottom w:val="double" w:sz="6" w:space="0" w:shadow="0" w:frame="0"/>
              <w:right w:val="double" w:sz="6" w:space="0" w:shadow="0" w:frame="0"/>
            </w:tcBorders>
          </w:tcPr>
          <w:p>
            <w:pPr>
              <w:pStyle w:val="P37"/>
              <w:spacing w:before="60" w:after="60"/>
              <w:rPr>
                <w:rFonts w:ascii="Calibri" w:hAnsi="Calibri"/>
                <w:sz w:val="22"/>
              </w:rPr>
            </w:pPr>
            <w:r>
              <w:rPr>
                <w:rFonts w:ascii="Calibri" w:hAnsi="Calibri"/>
                <w:sz w:val="22"/>
              </w:rPr>
              <w:t>Shall be low torque, full face to ASME B16.5-2013 dimensions and shall have two concentric, convex, molded rings between centre hole and bolt hole circle in Teflon-bonded EPDM</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Region Number]</w:t>
    </w:r>
    <w:r>
      <w:rPr>
        <w:rFonts w:ascii="Calibri" w:hAnsi="Calibri"/>
        <w:sz w:val="22"/>
      </w:rPr>
      <w:tab/>
      <w:tab/>
      <w:t>Section 15200-19</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r>
    <w:r>
      <w:rPr>
        <w:rFonts w:ascii="Calibri" w:hAnsi="Calibri"/>
        <w:b w:val="1"/>
        <w:sz w:val="22"/>
      </w:rPr>
      <w:t>POLYVINYLIDENE FLUORIDE (PVDF)</w:t>
    </w:r>
    <w:r>
      <w:rPr>
        <w:rFonts w:ascii="Calibri" w:hAnsi="Calibri"/>
        <w:b w:val="1"/>
        <w:sz w:val="22"/>
      </w:rPr>
      <w:t xml:space="preserve"> PIPE AND FITTINGS</w:t>
    </w:r>
    <w:r>
      <w:rPr>
        <w:rFonts w:ascii="Calibri" w:hAnsi="Calibri"/>
        <w:sz w:val="22"/>
      </w:rPr>
      <w:tab/>
      <w:t>2014-08-18</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rFonts w:ascii="Calibri" w:hAnsi="Calibri"/>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CONTRACT NO. SSTR4559</w:t>
      <w:tab/>
      <w:tab/>
      <w:t>Section 15200-19</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b w:val="1"/>
        <w:sz w:val="22"/>
      </w:rPr>
      <w:tab/>
    </w:r>
    <w:r>
      <w:rPr>
        <w:rFonts w:ascii="Calibri (Body)" w:hAnsi="Calibri (Body)"/>
        <w:b w:val="1"/>
        <w:sz w:val="22"/>
      </w:rPr>
      <w:t>POLYVINYLIDENE FLUORIDE (PVDF) PIPE AND FITTINGS</w:t>
    </w:r>
    <w:r>
      <w:rPr>
        <w:rFonts w:ascii="Calibri (Body)" w:hAnsi="Calibri (Body)"/>
        <w:sz w:val="22"/>
      </w:rPr>
      <w:tab/>
      <w:t>2017-05-25</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jc w:val="left"/>
      <w:rPr>
        <w:rFonts w:ascii="Calibri" w:hAnsi="Calibri"/>
        <w:sz w:val="22"/>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tabs>
        <w:tab w:val="center" w:pos="5220" w:leader="none"/>
        <w:tab w:val="right" w:pos="10800" w:leader="none"/>
      </w:tabs>
      <w:spacing w:after="240"/>
      <w:rPr>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Section 15200-19</w:t>
      <w:tab/>
      <w:tab/>
      <w:t>CONTRACT NO. SSTR4559</w:t>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2017-05-25</w:t>
    </w:r>
    <w:r>
      <w:rPr>
        <w:rFonts w:ascii="Calibri (Body)" w:hAnsi="Calibri (Body)"/>
        <w:b w:val="1"/>
        <w:sz w:val="22"/>
      </w:rPr>
      <w:tab/>
    </w:r>
    <w:r>
      <w:rPr>
        <w:rFonts w:ascii="Calibri (Body)" w:hAnsi="Calibri (Body)"/>
        <w:b w:val="1"/>
        <w:sz w:val="22"/>
      </w:rPr>
      <w:t>POLYVINYLIDENE FLUORIDE (PVDF) PIPE AND FITTINGS</w:t>
    </w:r>
    <w:r>
      <w:rPr>
        <w:rFonts w:ascii="Calibri (Body)" w:hAnsi="Calibri (Body)"/>
        <w:sz w:val="22"/>
      </w:rPr>
      <w:tab/>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jc w:val="left"/>
      <w:rPr>
        <w:rFonts w:ascii="Calibri" w:hAnsi="Calibri"/>
        <w:sz w:val="22"/>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296C537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Table Text11"/>
    <w:basedOn w:val="P0"/>
    <w:next w:val="P31"/>
    <w:pPr>
      <w:spacing w:before="120"/>
    </w:pPr>
    <w:rPr/>
  </w:style>
  <w:style w:type="paragraph" w:styleId="P32">
    <w:name w:val="Table Text14"/>
    <w:basedOn w:val="P0"/>
    <w:next w:val="P32"/>
    <w:pPr>
      <w:spacing w:before="120"/>
    </w:pPr>
    <w:rPr/>
  </w:style>
  <w:style w:type="paragraph" w:styleId="P33">
    <w:name w:val="Table Text15"/>
    <w:basedOn w:val="P0"/>
    <w:next w:val="P33"/>
    <w:pPr>
      <w:spacing w:before="120"/>
    </w:pPr>
    <w:rPr/>
  </w:style>
  <w:style w:type="paragraph" w:styleId="P34">
    <w:name w:val="Table Text16"/>
    <w:basedOn w:val="P0"/>
    <w:next w:val="P34"/>
    <w:pPr>
      <w:spacing w:before="120"/>
    </w:pPr>
    <w:rPr/>
  </w:style>
  <w:style w:type="paragraph" w:styleId="P35">
    <w:name w:val="Table Text17"/>
    <w:basedOn w:val="P0"/>
    <w:next w:val="P35"/>
    <w:pPr>
      <w:spacing w:before="120"/>
    </w:pPr>
    <w:rPr/>
  </w:style>
  <w:style w:type="paragraph" w:styleId="P36">
    <w:name w:val="Table Text18"/>
    <w:basedOn w:val="P0"/>
    <w:next w:val="P36"/>
    <w:pPr>
      <w:spacing w:before="120"/>
    </w:pPr>
    <w:rPr/>
  </w:style>
  <w:style w:type="paragraph" w:styleId="P37">
    <w:name w:val="Table Text19"/>
    <w:basedOn w:val="P0"/>
    <w:next w:val="P37"/>
    <w:pPr>
      <w:spacing w:before="120"/>
    </w:pPr>
    <w:rPr/>
  </w:style>
  <w:style w:type="paragraph" w:styleId="P38">
    <w:name w:val="Normal Table Text"/>
    <w:basedOn w:val="P0"/>
    <w:next w:val="P38"/>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9">
    <w:name w:val="Balloon Text"/>
    <w:basedOn w:val="P0"/>
    <w:next w:val="P39"/>
    <w:link w:val="C9"/>
    <w:pPr/>
    <w:rPr>
      <w:rFonts w:ascii="Tahoma" w:hAnsi="Tahoma"/>
      <w:sz w:val="16"/>
    </w:rPr>
  </w:style>
  <w:style w:type="paragraph" w:styleId="P40">
    <w:name w:val="Bullet"/>
    <w:basedOn w:val="P4"/>
    <w:next w:val="P4"/>
    <w:pPr/>
    <w:rPr/>
  </w:style>
  <w:style w:type="paragraph" w:styleId="P41">
    <w:name w:val="CSA"/>
    <w:basedOn w:val="P4"/>
    <w:next w:val="P47"/>
    <w:pPr>
      <w:keepNext w:val="1"/>
      <w:spacing w:after="0"/>
    </w:pPr>
    <w:rPr>
      <w:b w:val="1"/>
      <w:caps w:val="1"/>
      <w:sz w:val="20"/>
    </w:rPr>
  </w:style>
  <w:style w:type="paragraph" w:styleId="P42">
    <w:name w:val="Footnote Text"/>
    <w:basedOn w:val="P4"/>
    <w:next w:val="P42"/>
    <w:pPr>
      <w:spacing w:after="0"/>
    </w:pPr>
    <w:rPr>
      <w:rFonts w:ascii="Arial" w:hAnsi="Arial"/>
      <w:sz w:val="16"/>
    </w:rPr>
  </w:style>
  <w:style w:type="paragraph" w:styleId="P43">
    <w:name w:val="Number"/>
    <w:basedOn w:val="P4"/>
    <w:next w:val="P4"/>
    <w:pPr>
      <w:spacing w:after="0"/>
      <w:ind w:hanging="360" w:left="360"/>
    </w:pPr>
    <w:rPr/>
  </w:style>
  <w:style w:type="paragraph" w:styleId="P44">
    <w:name w:val="Tick"/>
    <w:basedOn w:val="P4"/>
    <w:next w:val="P4"/>
    <w:pPr>
      <w:spacing w:after="0"/>
      <w:ind w:hanging="360" w:left="720"/>
    </w:pPr>
    <w:rPr/>
  </w:style>
  <w:style w:type="paragraph" w:styleId="P45">
    <w:name w:val="TOC 1"/>
    <w:basedOn w:val="P4"/>
    <w:next w:val="P72"/>
    <w:pPr>
      <w:tabs>
        <w:tab w:val="right" w:pos="8640" w:leader="dot"/>
      </w:tabs>
      <w:spacing w:after="0"/>
    </w:pPr>
    <w:rPr>
      <w:b w:val="1"/>
    </w:rPr>
  </w:style>
  <w:style w:type="paragraph" w:styleId="P46">
    <w:name w:val="Comment Subject"/>
    <w:basedOn w:val="P5"/>
    <w:next w:val="P5"/>
    <w:link w:val="C11"/>
    <w:pPr>
      <w:spacing w:before="0"/>
    </w:pPr>
    <w:rPr>
      <w:rFonts w:ascii="Times New Roman" w:hAnsi="Times New Roman"/>
      <w:b w:val="1"/>
      <w:sz w:val="20"/>
    </w:rPr>
  </w:style>
  <w:style w:type="paragraph" w:styleId="P47">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8">
    <w:name w:val="Heading 2"/>
    <w:basedOn w:val="P7"/>
    <w:next w:val="P4"/>
    <w:qFormat/>
    <w:pPr>
      <w:keepNext w:val="1"/>
      <w:keepLines w:val="1"/>
      <w:numPr>
        <w:ilvl w:val="1"/>
        <w:numId w:val="3"/>
      </w:numPr>
      <w:spacing w:before="160" w:after="160"/>
      <w:outlineLvl w:val="1"/>
    </w:pPr>
    <w:rPr>
      <w:rFonts w:ascii="Arial" w:hAnsi="Arial"/>
      <w:b w:val="0"/>
    </w:rPr>
  </w:style>
  <w:style w:type="paragraph" w:styleId="P49">
    <w:name w:val="Heading 3"/>
    <w:basedOn w:val="P7"/>
    <w:next w:val="P49"/>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50">
    <w:name w:val="Heading 4"/>
    <w:basedOn w:val="P7"/>
    <w:next w:val="P50"/>
    <w:qFormat/>
    <w:pPr>
      <w:numPr>
        <w:ilvl w:val="3"/>
        <w:numId w:val="3"/>
      </w:numPr>
      <w:tabs>
        <w:tab w:val="clear" w:pos="864" w:leader="none"/>
        <w:tab w:val="left" w:pos="5040" w:leader="none"/>
      </w:tabs>
      <w:ind w:hanging="720" w:left="5040"/>
      <w:outlineLvl w:val="3"/>
    </w:pPr>
    <w:rPr>
      <w:rFonts w:ascii="Arial" w:hAnsi="Arial"/>
      <w:b w:val="0"/>
    </w:rPr>
  </w:style>
  <w:style w:type="paragraph" w:styleId="P51">
    <w:name w:val="Heading 5"/>
    <w:basedOn w:val="P7"/>
    <w:next w:val="P51"/>
    <w:qFormat/>
    <w:pPr>
      <w:numPr>
        <w:ilvl w:val="4"/>
        <w:numId w:val="3"/>
      </w:numPr>
      <w:tabs>
        <w:tab w:val="clear" w:pos="720" w:leader="none"/>
        <w:tab w:val="left" w:pos="5760" w:leader="none"/>
      </w:tabs>
      <w:ind w:hanging="720" w:left="5760"/>
      <w:outlineLvl w:val="4"/>
    </w:pPr>
    <w:rPr>
      <w:rFonts w:ascii="Arial" w:hAnsi="Arial"/>
      <w:b w:val="0"/>
    </w:rPr>
  </w:style>
  <w:style w:type="paragraph" w:styleId="P52">
    <w:name w:val="Heading 6"/>
    <w:basedOn w:val="P7"/>
    <w:next w:val="P4"/>
    <w:qFormat/>
    <w:pPr>
      <w:numPr>
        <w:ilvl w:val="5"/>
        <w:numId w:val="3"/>
      </w:numPr>
      <w:outlineLvl w:val="5"/>
    </w:pPr>
    <w:rPr>
      <w:i w:val="1"/>
      <w:sz w:val="24"/>
    </w:rPr>
  </w:style>
  <w:style w:type="paragraph" w:styleId="P53">
    <w:name w:val="Caption"/>
    <w:basedOn w:val="P7"/>
    <w:next w:val="P0"/>
    <w:qFormat/>
    <w:pPr>
      <w:keepNext w:val="1"/>
      <w:spacing w:after="240"/>
    </w:pPr>
    <w:rPr>
      <w:b w:val="0"/>
      <w:i w:val="1"/>
      <w:sz w:val="20"/>
    </w:rPr>
  </w:style>
  <w:style w:type="paragraph" w:styleId="P54">
    <w:name w:val="Exhibit--Number"/>
    <w:basedOn w:val="P7"/>
    <w:next w:val="P74"/>
    <w:pPr>
      <w:spacing w:before="160"/>
    </w:pPr>
    <w:rPr>
      <w:caps w:val="1"/>
      <w:sz w:val="18"/>
    </w:rPr>
  </w:style>
  <w:style w:type="paragraph" w:styleId="P55">
    <w:name w:val="Title"/>
    <w:basedOn w:val="P7"/>
    <w:next w:val="P55"/>
    <w:qFormat/>
    <w:pPr>
      <w:keepNext w:val="1"/>
      <w:spacing w:before="160" w:after="30"/>
    </w:pPr>
    <w:rPr>
      <w:sz w:val="20"/>
    </w:rPr>
  </w:style>
  <w:style w:type="paragraph" w:styleId="P56">
    <w:name w:val="Table Body"/>
    <w:basedOn w:val="P12"/>
    <w:next w:val="P56"/>
    <w:pPr>
      <w:jc w:val="left"/>
    </w:pPr>
    <w:rPr>
      <w:b w:val="0"/>
    </w:rPr>
  </w:style>
  <w:style w:type="paragraph" w:styleId="P57">
    <w:name w:val="Table Heading"/>
    <w:basedOn w:val="P21"/>
    <w:next w:val="P57"/>
    <w:pPr>
      <w:jc w:val="center"/>
    </w:pPr>
    <w:rPr>
      <w:b w:val="1"/>
    </w:rPr>
  </w:style>
  <w:style w:type="paragraph" w:styleId="P58">
    <w:name w:val="Table Heading2"/>
    <w:basedOn w:val="P21"/>
    <w:next w:val="P58"/>
    <w:pPr>
      <w:jc w:val="center"/>
    </w:pPr>
    <w:rPr>
      <w:b w:val="1"/>
    </w:rPr>
  </w:style>
  <w:style w:type="paragraph" w:styleId="P59">
    <w:name w:val="Table Heading4"/>
    <w:basedOn w:val="P21"/>
    <w:next w:val="P59"/>
    <w:pPr>
      <w:jc w:val="center"/>
    </w:pPr>
    <w:rPr>
      <w:b w:val="1"/>
    </w:rPr>
  </w:style>
  <w:style w:type="paragraph" w:styleId="P60">
    <w:name w:val="Table Heading5"/>
    <w:basedOn w:val="P21"/>
    <w:next w:val="P60"/>
    <w:pPr>
      <w:jc w:val="center"/>
    </w:pPr>
    <w:rPr>
      <w:b w:val="1"/>
    </w:rPr>
  </w:style>
  <w:style w:type="paragraph" w:styleId="P61">
    <w:name w:val="Table Heading6"/>
    <w:basedOn w:val="P21"/>
    <w:next w:val="P61"/>
    <w:pPr>
      <w:jc w:val="center"/>
    </w:pPr>
    <w:rPr>
      <w:b w:val="1"/>
    </w:rPr>
  </w:style>
  <w:style w:type="paragraph" w:styleId="P62">
    <w:name w:val="Table Heading9"/>
    <w:basedOn w:val="P21"/>
    <w:next w:val="P62"/>
    <w:pPr>
      <w:jc w:val="center"/>
    </w:pPr>
    <w:rPr>
      <w:b w:val="1"/>
    </w:rPr>
  </w:style>
  <w:style w:type="paragraph" w:styleId="P63">
    <w:name w:val="Table Heading10"/>
    <w:basedOn w:val="P21"/>
    <w:next w:val="P63"/>
    <w:pPr>
      <w:jc w:val="center"/>
    </w:pPr>
    <w:rPr>
      <w:b w:val="1"/>
    </w:rPr>
  </w:style>
  <w:style w:type="paragraph" w:styleId="P64">
    <w:name w:val="Table Heading11"/>
    <w:basedOn w:val="P21"/>
    <w:next w:val="P64"/>
    <w:pPr>
      <w:jc w:val="center"/>
    </w:pPr>
    <w:rPr>
      <w:b w:val="1"/>
    </w:rPr>
  </w:style>
  <w:style w:type="paragraph" w:styleId="P65">
    <w:name w:val="Table Heading13"/>
    <w:basedOn w:val="P21"/>
    <w:next w:val="P65"/>
    <w:pPr>
      <w:jc w:val="center"/>
    </w:pPr>
    <w:rPr>
      <w:b w:val="1"/>
    </w:rPr>
  </w:style>
  <w:style w:type="paragraph" w:styleId="P66">
    <w:name w:val="Table Heading14"/>
    <w:basedOn w:val="P21"/>
    <w:next w:val="P66"/>
    <w:pPr>
      <w:jc w:val="center"/>
    </w:pPr>
    <w:rPr>
      <w:b w:val="1"/>
    </w:rPr>
  </w:style>
  <w:style w:type="paragraph" w:styleId="P67">
    <w:name w:val="Table Heading15"/>
    <w:basedOn w:val="P21"/>
    <w:next w:val="P67"/>
    <w:pPr>
      <w:jc w:val="center"/>
    </w:pPr>
    <w:rPr>
      <w:b w:val="1"/>
    </w:rPr>
  </w:style>
  <w:style w:type="paragraph" w:styleId="P68">
    <w:name w:val="Table Heading16"/>
    <w:basedOn w:val="P21"/>
    <w:next w:val="P68"/>
    <w:pPr>
      <w:jc w:val="center"/>
    </w:pPr>
    <w:rPr>
      <w:b w:val="1"/>
    </w:rPr>
  </w:style>
  <w:style w:type="paragraph" w:styleId="P69">
    <w:name w:val="Table Heading17"/>
    <w:basedOn w:val="P21"/>
    <w:next w:val="P69"/>
    <w:pPr>
      <w:jc w:val="center"/>
    </w:pPr>
    <w:rPr>
      <w:b w:val="1"/>
    </w:rPr>
  </w:style>
  <w:style w:type="paragraph" w:styleId="P70">
    <w:name w:val="Table Heading18"/>
    <w:basedOn w:val="P21"/>
    <w:next w:val="P70"/>
    <w:pPr>
      <w:jc w:val="center"/>
    </w:pPr>
    <w:rPr>
      <w:b w:val="1"/>
    </w:rPr>
  </w:style>
  <w:style w:type="paragraph" w:styleId="P71">
    <w:name w:val="List Bullet"/>
    <w:basedOn w:val="P40"/>
    <w:next w:val="P71"/>
    <w:pPr>
      <w:numPr>
        <w:numId w:val="2"/>
      </w:numPr>
    </w:pPr>
    <w:rPr/>
  </w:style>
  <w:style w:type="paragraph" w:styleId="P72">
    <w:name w:val="TOC 2"/>
    <w:basedOn w:val="P45"/>
    <w:next w:val="P76"/>
    <w:pPr>
      <w:tabs>
        <w:tab w:val="left" w:pos="1008" w:leader="none"/>
      </w:tabs>
      <w:ind w:left="720"/>
    </w:pPr>
    <w:rPr>
      <w:b w:val="0"/>
    </w:rPr>
  </w:style>
  <w:style w:type="paragraph" w:styleId="P73">
    <w:name w:val="Contents"/>
    <w:basedOn w:val="P47"/>
    <w:next w:val="P4"/>
    <w:pPr/>
    <w:rPr/>
  </w:style>
  <w:style w:type="paragraph" w:styleId="P74">
    <w:name w:val="Exhibit--Title"/>
    <w:basedOn w:val="P54"/>
    <w:next w:val="P77"/>
    <w:pPr>
      <w:spacing w:before="0"/>
    </w:pPr>
    <w:rPr>
      <w:b w:val="1"/>
      <w:caps w:val="0"/>
      <w:sz w:val="20"/>
    </w:rPr>
  </w:style>
  <w:style w:type="paragraph" w:styleId="P75">
    <w:name w:val="Table Notes"/>
    <w:basedOn w:val="P56"/>
    <w:next w:val="P75"/>
    <w:pPr>
      <w:spacing w:after="320"/>
    </w:pPr>
    <w:rPr/>
  </w:style>
  <w:style w:type="paragraph" w:styleId="P76">
    <w:name w:val="TOC 3"/>
    <w:basedOn w:val="P72"/>
    <w:next w:val="P76"/>
    <w:pPr>
      <w:tabs>
        <w:tab w:val="clear" w:pos="1008" w:leader="none"/>
        <w:tab w:val="left" w:pos="1728" w:leader="none"/>
      </w:tabs>
      <w:ind w:left="1440"/>
    </w:pPr>
    <w:rPr/>
  </w:style>
  <w:style w:type="paragraph" w:styleId="P77">
    <w:name w:val="Exhibit--Caption"/>
    <w:basedOn w:val="P74"/>
    <w:next w:val="P4"/>
    <w:pPr/>
    <w:rPr>
      <w:i w:val="1"/>
    </w:rPr>
  </w:style>
  <w:style w:type="paragraph" w:styleId="P78">
    <w:name w:val="TOC 4"/>
    <w:basedOn w:val="P7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9"/>
    <w:rPr>
      <w:rFonts w:ascii="Arial" w:hAnsi="Arial"/>
      <w:b w:val="0"/>
    </w:rPr>
  </w:style>
  <w:style w:type="character" w:styleId="C8">
    <w:name w:val="Choice"/>
    <w:rPr>
      <w:rFonts w:ascii="Times New Roman" w:hAnsi="Times New Roman"/>
      <w:b w:val="1"/>
      <w:sz w:val="24"/>
    </w:rPr>
  </w:style>
  <w:style w:type="character" w:styleId="C9">
    <w:name w:val="Balloon Text Char"/>
    <w:link w:val="P39"/>
    <w:rPr>
      <w:rFonts w:ascii="Tahoma" w:hAnsi="Tahoma"/>
      <w:sz w:val="16"/>
    </w:rPr>
  </w:style>
  <w:style w:type="character" w:styleId="C10">
    <w:name w:val="Comment Text Char"/>
    <w:link w:val="P5"/>
    <w:rPr>
      <w:rFonts w:ascii="Arial" w:hAnsi="Arial"/>
    </w:rPr>
  </w:style>
  <w:style w:type="character" w:styleId="C11">
    <w:name w:val="Comment Subject Char"/>
    <w:link w:val="P46"/>
    <w:rPr>
      <w:rFonts w:ascii="Times New Roman" w:hAnsi="Times New Roman"/>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2017-05-25T19:50:00Z</dcterms:created>
  <cp:lastModifiedBy>Ray</cp:lastModifiedBy>
  <cp:lastPrinted>2006-06-22T13:57:00Z</cp:lastPrinted>
  <dcterms:modified xsi:type="dcterms:W3CDTF">2022-10-04T19:39:02Z</dcterms:modified>
  <cp:revision>4</cp:revision>
  <dc:title>15200-19_Polyvinylidene_Fluoride_(PVDF)_Pipe_And_Fittings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2017-05-25T00:00:00Z</vt:lpwstr>
  </property>
  <property fmtid="{D5CDD505-2E9C-101B-9397-08002B2CF9AE}" pid="4" name="_dlc_DocId">
    <vt:lpwstr>ENVCPD-83-1419</vt:lpwstr>
  </property>
  <property fmtid="{D5CDD505-2E9C-101B-9397-08002B2CF9AE}" pid="5" name="_dlc_DocIdItemGuid">
    <vt:lpwstr>d4f1ae37-b6fe-43b2-9dba-4e608293bee1</vt:lpwstr>
  </property>
  <property fmtid="{D5CDD505-2E9C-101B-9397-08002B2CF9AE}" pid="6" name="_dlc_DocIdUrl">
    <vt:lpwstr>https://mycloud.york.ca/projects/EnvServProgramDeliveryOffice/ProjectServer/AEL/_layouts/DocIdRedir.aspx?ID=ENVCPD-83-1419, ENVCPD-83-1419</vt:lpwstr>
  </property>
</Properties>
</file>