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3BD57B4C" Type="http://schemas.openxmlformats.org/officeDocument/2006/relationships/officeDocument" Target="/word/document.xml" /><Relationship Id="coreR3BD57B4C" Type="http://schemas.openxmlformats.org/package/2006/relationships/metadata/core-properties" Target="/docProps/core.xml" /><Relationship Id="customR3BD57B4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 xml:space="preserve">Modified ‘Related Sections’ </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3,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18,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 xml:space="preserve">Incorporation of new Commissioning Specification cross references. </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July 29,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rPr>
                <w:rFonts w:ascii="Calibri" w:hAnsi="Calibri"/>
                <w:b w:val="1"/>
              </w:rPr>
            </w:pPr>
            <w:r>
              <w:rPr>
                <w:rFonts w:ascii="Calibri" w:hAnsi="Calibri"/>
                <w:b w:val="1"/>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February 4,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Reference eDOCS #5630491  v7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tc>
        <w:tc>
          <w:tcPr>
            <w:tcW w:w="1980" w:type="dxa"/>
            <w:tcBorders>
              <w:top w:val="single" w:sz="6" w:space="0" w:shadow="0" w:frame="0"/>
              <w:left w:val="single" w:sz="6" w:space="0" w:shadow="0" w:frame="0"/>
              <w:bottom w:val="double" w:sz="6" w:space="0" w:shadow="0" w:frame="0"/>
              <w:right w:val="single" w:sz="6" w:space="0" w:shadow="0" w:frame="0"/>
            </w:tcBorders>
          </w:tcPr>
          <w:p/>
        </w:tc>
        <w:tc>
          <w:tcPr>
            <w:tcW w:w="5863" w:type="dxa"/>
            <w:tcBorders>
              <w:top w:val="single" w:sz="6" w:space="0" w:shadow="0" w:frame="0"/>
              <w:left w:val="single" w:sz="6" w:space="0" w:shadow="0" w:frame="0"/>
              <w:bottom w:val="double" w:sz="6" w:space="0" w:shadow="0" w:frame="0"/>
              <w:right w:val="double" w:sz="6" w:space="0" w:shadow="0" w:frame="0"/>
            </w:tcBorders>
          </w:tcPr>
          <w:p/>
        </w:tc>
      </w:tr>
    </w:tbl>
    <w:p>
      <w:pPr>
        <w:pStyle w:val="P33"/>
        <w:numPr>
          <w:ilvl w:val="0"/>
          <w:numId w:val="0"/>
        </w:num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numPr>
          <w:ilvl w:val="0"/>
          <w:numId w:val="0"/>
        </w:numPr>
      </w:pPr>
    </w:p>
    <w:p>
      <w:pPr>
        <w:pStyle w:val="P33"/>
      </w:pPr>
      <w:bookmarkEnd w:id="0"/>
      <w:bookmarkEnd w:id="1"/>
      <w:bookmarkEnd w:id="2"/>
      <w:r>
        <w:br w:type="page"/>
        <w:t>GEneral</w:t>
      </w:r>
    </w:p>
    <w:p>
      <w:pPr>
        <w:pStyle w:val="P34"/>
      </w:pPr>
      <w:r>
        <w:t>Related Sections</w:t>
      </w:r>
    </w:p>
    <w:p>
      <w:pPr>
        <w:pStyle w:val="P35"/>
        <w:numPr>
          <w:ilvl w:val="2"/>
          <w:numId w:val="0"/>
        </w:numPr>
        <w:ind w:left="720"/>
        <w:rPr>
          <w:i w:val="1"/>
          <w:highlight w:val="lightGray"/>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ind w:left="720"/>
        <w:rPr>
          <w:i w:val="1"/>
          <w:highlight w:val="lightGray"/>
        </w:rPr>
      </w:pPr>
    </w:p>
    <w:p>
      <w:pPr>
        <w:pStyle w:val="P35"/>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5"/>
        <w:numPr>
          <w:ilvl w:val="2"/>
          <w:numId w:val="0"/>
        </w:numPr>
        <w:ind w:left="720"/>
        <w:rPr>
          <w:i w:val="1"/>
          <w:highlight w:val="lightGray"/>
        </w:rPr>
      </w:pPr>
    </w:p>
    <w:p>
      <w:pPr>
        <w:pStyle w:val="P35"/>
        <w:numPr>
          <w:ilvl w:val="2"/>
          <w:numId w:val="0"/>
        </w:numPr>
        <w:ind w:left="720"/>
        <w:rPr>
          <w:i w:val="1"/>
          <w:highlight w:val="yellow"/>
        </w:rPr>
      </w:pPr>
      <w:r>
        <w:rPr>
          <w:i w:val="1"/>
          <w:highlight w:val="yellow"/>
        </w:rPr>
        <w:t>Contractor is responsible for coordination of the Work.</w:t>
      </w:r>
      <w:r>
        <w:rPr>
          <w:i w:val="1"/>
          <w:highlight w:val="yellow"/>
        </w:rPr>
        <w:t xml:space="preserve"> Contractor is responsible for being familiar with and incorporating all required elements of cross-referenced Specifications cited.</w:t>
      </w:r>
    </w:p>
    <w:p>
      <w:pPr>
        <w:pStyle w:val="P35"/>
        <w:numPr>
          <w:ilvl w:val="2"/>
          <w:numId w:val="0"/>
        </w:numPr>
        <w:ind w:left="720"/>
        <w:rPr>
          <w:i w:val="1"/>
          <w:highlight w:val="yellow"/>
        </w:rPr>
      </w:pPr>
    </w:p>
    <w:p>
      <w:pPr>
        <w:pStyle w:val="P35"/>
        <w:numPr>
          <w:ilvl w:val="2"/>
          <w:numId w:val="0"/>
        </w:numPr>
        <w:ind w:left="720"/>
        <w:rPr>
          <w:i w:val="1"/>
          <w:highlight w:val="lightGray"/>
        </w:rPr>
      </w:pPr>
      <w:r>
        <w:rPr>
          <w:i w:val="1"/>
          <w:highlight w:val="yellow"/>
        </w:rPr>
        <w:t>This Section is to be completed/updated during the design development by the Consultant. If it is not applicable to the section for the specific project it may be deleted.]</w:t>
      </w:r>
    </w:p>
    <w:p>
      <w:pPr>
        <w:pStyle w:val="P35"/>
        <w:numPr>
          <w:ilvl w:val="2"/>
          <w:numId w:val="0"/>
        </w:numPr>
        <w:ind w:left="720"/>
        <w:rPr>
          <w:i w:val="1"/>
          <w:highlight w:val="lightGray"/>
        </w:rPr>
      </w:pPr>
    </w:p>
    <w:p>
      <w:pPr>
        <w:pStyle w:val="P35"/>
        <w:numPr>
          <w:ilvl w:val="2"/>
          <w:numId w:val="0"/>
        </w:numPr>
        <w:ind w:left="720"/>
        <w:rPr>
          <w:i w:val="1"/>
        </w:rPr>
      </w:pPr>
      <w:r>
        <w:rPr>
          <w:i w:val="1"/>
          <w:highlight w:val="yellow"/>
        </w:rPr>
        <w:t>[List Sections specifying installation of products supplied but not installed under this Section and indicate specific items.]</w:t>
      </w:r>
    </w:p>
    <w:p>
      <w:pPr>
        <w:pStyle w:val="P35"/>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5"/>
        <w:numPr>
          <w:ilvl w:val="2"/>
          <w:numId w:val="0"/>
        </w:numPr>
        <w:ind w:hanging="720" w:left="1440"/>
        <w:rPr>
          <w:i w:val="1"/>
        </w:rPr>
      </w:pPr>
      <w:r>
        <w:rPr>
          <w:i w:val="1"/>
          <w:highlight w:val="yellow"/>
        </w:rPr>
        <w:t>[List Sections specifying products installed but not supplied under this Section and indicate specific items.]</w:t>
      </w:r>
    </w:p>
    <w:p>
      <w:pPr>
        <w:pStyle w:val="P35"/>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5"/>
        <w:numPr>
          <w:ilvl w:val="2"/>
          <w:numId w:val="0"/>
        </w:numPr>
        <w:ind w:left="720"/>
        <w:rPr>
          <w:i w:val="1"/>
        </w:rPr>
      </w:pPr>
      <w:r>
        <w:rPr>
          <w:i w:val="1"/>
          <w:highlight w:val="yellow"/>
        </w:rPr>
        <w:t>[List Sections specifying related requirements.]</w:t>
      </w:r>
    </w:p>
    <w:p>
      <w:pPr>
        <w:pStyle w:val="P35"/>
      </w:pPr>
      <w:r>
        <w:t xml:space="preserve">Section </w:t>
      </w:r>
      <w:r>
        <w:rPr>
          <w:highlight w:val="yellow"/>
        </w:rPr>
        <w:t>[______ – ____________]</w:t>
      </w:r>
      <w:r>
        <w:t xml:space="preserve">:  </w:t>
      </w:r>
      <w:r>
        <w:rPr>
          <w:highlight w:val="yellow"/>
        </w:rPr>
        <w:t>[Optional short phrase indicating relationship]</w:t>
      </w:r>
      <w:r>
        <w:t>.</w:t>
      </w:r>
    </w:p>
    <w:p>
      <w:pPr>
        <w:pStyle w:val="P35"/>
        <w:numPr>
          <w:ilvl w:val="2"/>
          <w:numId w:val="0"/>
        </w:numPr>
        <w:ind w:hanging="1440" w:left="2880"/>
      </w:pPr>
      <w:r>
        <w:t>Sections:</w:t>
      </w:r>
    </w:p>
    <w:p>
      <w:pPr>
        <w:pStyle w:val="P36"/>
      </w:pPr>
      <w:r>
        <w:t>Section 01300 – Submittals</w:t>
      </w:r>
    </w:p>
    <w:p>
      <w:pPr>
        <w:pStyle w:val="P36"/>
      </w:pPr>
      <w:r>
        <w:t>Section 01810 – Equipment Testing and Facility Commissioning</w:t>
      </w:r>
    </w:p>
    <w:p>
      <w:pPr>
        <w:pStyle w:val="P36"/>
        <w:rPr>
          <w:highlight w:val="yellow"/>
        </w:rPr>
      </w:pPr>
      <w:r>
        <w:rPr>
          <w:highlight w:val="yellow"/>
        </w:rPr>
        <w:t>[Division 13 – SCADA and Instrumentation - insert applicable specifications]</w:t>
      </w:r>
    </w:p>
    <w:p>
      <w:pPr>
        <w:pStyle w:val="P36"/>
      </w:pPr>
      <w:r>
        <w:t xml:space="preserve">Section 16010 – Electrical General Requirements </w:t>
      </w:r>
    </w:p>
    <w:p>
      <w:pPr>
        <w:pStyle w:val="P36"/>
      </w:pPr>
      <w:r>
        <w:t xml:space="preserve">Product requirements for </w:t>
      </w:r>
      <w:r>
        <w:rPr>
          <w:highlight w:val="yellow"/>
        </w:rPr>
        <w:t>[item]...</w:t>
      </w:r>
      <w:r>
        <w:t xml:space="preserve">  for installation under this Section.</w:t>
      </w:r>
    </w:p>
    <w:p>
      <w:pPr>
        <w:pStyle w:val="P34"/>
      </w:pPr>
      <w:r>
        <w:t>References</w:t>
      </w:r>
    </w:p>
    <w:p>
      <w:pPr>
        <w:pStyle w:val="P4"/>
        <w:spacing w:after="0"/>
        <w:ind w:hanging="806" w:left="2246"/>
        <w:rPr>
          <w:rFonts w:ascii="Calibri" w:hAnsi="Calibri"/>
          <w:i w:val="1"/>
        </w:rPr>
      </w:pPr>
      <w:r>
        <w:rPr>
          <w:rFonts w:ascii="Calibri" w:hAnsi="Calibri"/>
          <w:i w:val="1"/>
          <w:highlight w:val="yellow"/>
        </w:rPr>
        <w:t>[Delete .1 if Section 01060 – Regulatory Requirements is included in Contract Documents.]</w:t>
      </w:r>
    </w:p>
    <w:p>
      <w:pPr>
        <w:pStyle w:val="P35"/>
        <w:tabs>
          <w:tab w:val="left" w:pos="1440" w:leader="none"/>
        </w:tabs>
      </w:pPr>
      <w:r>
        <w:t>CSA:</w:t>
      </w:r>
    </w:p>
    <w:p>
      <w:pPr>
        <w:pStyle w:val="P36"/>
        <w:tabs>
          <w:tab w:val="left" w:pos="504" w:leader="none"/>
        </w:tabs>
      </w:pPr>
      <w:r>
        <w:t>CSA 22.2 No. 51-14 (AC90).</w:t>
      </w:r>
    </w:p>
    <w:p>
      <w:pPr>
        <w:pStyle w:val="P36"/>
        <w:numPr>
          <w:ilvl w:val="3"/>
          <w:numId w:val="0"/>
        </w:numPr>
        <w:ind w:left="2160"/>
      </w:pPr>
    </w:p>
    <w:p>
      <w:pPr>
        <w:pStyle w:val="P34"/>
      </w:pPr>
      <w:r>
        <w:t>Shop Drawings</w:t>
      </w:r>
    </w:p>
    <w:p>
      <w:pPr>
        <w:pStyle w:val="P35"/>
      </w:pPr>
      <w:r>
        <w:t>Submit shop drawings to the Consultant for review and approval.</w:t>
      </w:r>
    </w:p>
    <w:p>
      <w:pPr>
        <w:pStyle w:val="P35"/>
      </w:pPr>
      <w:r>
        <w:t>Shop drawings and specifications shall include but not be limited to the following:</w:t>
      </w:r>
    </w:p>
    <w:p>
      <w:pPr>
        <w:pStyle w:val="P36"/>
      </w:pPr>
      <w:r>
        <w:t>Complete assembly.</w:t>
      </w:r>
    </w:p>
    <w:p>
      <w:pPr>
        <w:pStyle w:val="P36"/>
      </w:pPr>
      <w:r>
        <w:t>Contact surfaces.</w:t>
      </w:r>
    </w:p>
    <w:p>
      <w:pPr>
        <w:pStyle w:val="P36"/>
      </w:pPr>
      <w:r>
        <w:t>Construction features.</w:t>
      </w:r>
    </w:p>
    <w:p>
      <w:pPr>
        <w:pStyle w:val="P36"/>
      </w:pPr>
      <w:r>
        <w:t>Wiring diagrams.</w:t>
      </w:r>
    </w:p>
    <w:p>
      <w:pPr>
        <w:pStyle w:val="P36"/>
      </w:pPr>
      <w:r>
        <w:t>Catalogue information.</w:t>
      </w:r>
    </w:p>
    <w:p>
      <w:pPr>
        <w:pStyle w:val="P34"/>
      </w:pPr>
      <w:r>
        <w:t>Delivery</w:t>
      </w:r>
    </w:p>
    <w:p>
      <w:pPr>
        <w:pStyle w:val="P35"/>
      </w:pPr>
      <w:r>
        <w:t>Deliver to the designated fixture or equipment manufacturer the required quantity of interceptors, receptacles and/or plugs necessary for the installation and connection of the fixture or equipment.</w:t>
      </w:r>
    </w:p>
    <w:p>
      <w:pPr>
        <w:pStyle w:val="P33"/>
      </w:pPr>
      <w:r>
        <w:t>PRODUCTS</w:t>
      </w:r>
    </w:p>
    <w:p>
      <w:pPr>
        <w:pStyle w:val="P34"/>
      </w:pPr>
      <w:r>
        <w:t>Components</w:t>
      </w:r>
    </w:p>
    <w:p>
      <w:pPr>
        <w:pStyle w:val="P35"/>
      </w:pPr>
      <w:r>
        <w:t>Designed for up to and including 600 V, 20 A lighting and branch wiring installations.</w:t>
      </w:r>
    </w:p>
    <w:p>
      <w:pPr>
        <w:pStyle w:val="P35"/>
      </w:pPr>
      <w:r>
        <w:t>Integrally molded thermoplastic, colour coded black for normal and red for emergency circuits. Use special colours for system identification (for example, blue, grey, yellow, white).</w:t>
      </w:r>
    </w:p>
    <w:p>
      <w:pPr>
        <w:pStyle w:val="P35"/>
      </w:pPr>
      <w:r>
        <w:t>Certified to make or break under full rated load.</w:t>
      </w:r>
    </w:p>
    <w:p>
      <w:pPr>
        <w:pStyle w:val="P34"/>
      </w:pPr>
      <w:r>
        <w:t>Cable Sets</w:t>
      </w:r>
    </w:p>
    <w:p>
      <w:pPr>
        <w:pStyle w:val="P35"/>
      </w:pPr>
      <w:r>
        <w:t>Cable sets shall be c/w factory molded male and/or female terminals with the number and size of conductors in accordance with the wiring system requirements.</w:t>
      </w:r>
    </w:p>
    <w:p>
      <w:pPr>
        <w:pStyle w:val="P35"/>
      </w:pPr>
      <w:r>
        <w:t>Factory assembled and integrally molded.</w:t>
      </w:r>
    </w:p>
    <w:p>
      <w:pPr>
        <w:pStyle w:val="P35"/>
      </w:pPr>
      <w:r>
        <w:t>All cable sets/harnesses shall be CSA certified.</w:t>
      </w:r>
    </w:p>
    <w:p>
      <w:pPr>
        <w:pStyle w:val="P35"/>
      </w:pPr>
      <w:r>
        <w:t>Cables shall allow the relocation of fixtures and equipment up to two metres.</w:t>
      </w:r>
    </w:p>
    <w:p>
      <w:pPr>
        <w:pStyle w:val="P35"/>
      </w:pPr>
      <w:r>
        <w:t>Starter cables: complete with one end prepared for field installation and other end complete with molded female terminal. Field prepared end: armour removed 150 mm and complete with locknutless connector and suitable for circuit connection to standard outlet box.</w:t>
      </w:r>
    </w:p>
    <w:p>
      <w:pPr>
        <w:pStyle w:val="P35"/>
      </w:pPr>
      <w:r>
        <w:t>Joiner cables: one end c/w integrally molded male terminal and other end c/w female terminal.</w:t>
      </w:r>
    </w:p>
    <w:p>
      <w:pPr>
        <w:pStyle w:val="P35"/>
      </w:pPr>
      <w:r>
        <w:t>Switch drop cables: c/w one end prepared for field installation and other end c/w integrally molded switch terminal. Field prepared end: armour stripped 150 mm and c/w locknutless connector suitable for circuit connection to a standard outlet box or equipment.</w:t>
      </w:r>
    </w:p>
    <w:p>
      <w:pPr>
        <w:pStyle w:val="P35"/>
      </w:pPr>
      <w:r>
        <w:t>Feed drop cables: c/w one end prepared for field installation and other end c/w integrally molded switch terminal. Field prepared end: armour stripped 150 mm and c/w locknutless connector suitable for circuit connection to a standard outlet box or equipment</w:t>
      </w:r>
    </w:p>
    <w:p>
      <w:pPr>
        <w:pStyle w:val="P34"/>
      </w:pPr>
      <w:r>
        <w:t>Interceptors and Receptors</w:t>
      </w:r>
    </w:p>
    <w:p>
      <w:pPr>
        <w:pStyle w:val="P35"/>
      </w:pPr>
      <w:r>
        <w:t>Designed for flush mounting in fixtures or equipment to afford low profile connection with cable sets.</w:t>
      </w:r>
    </w:p>
    <w:p>
      <w:pPr>
        <w:pStyle w:val="P35"/>
      </w:pPr>
      <w:r>
        <w:t>Slip lock fit design for securing interceptor to fixtures or equipment.</w:t>
      </w:r>
    </w:p>
    <w:p>
      <w:pPr>
        <w:pStyle w:val="P34"/>
      </w:pPr>
      <w:r>
        <w:t>Switch Kits</w:t>
      </w:r>
    </w:p>
    <w:p>
      <w:pPr>
        <w:pStyle w:val="P35"/>
      </w:pPr>
      <w:r>
        <w:t>Switch kits are designed for circuit switching and include switch adaptor, crossover cable and switching cable. Switch adaptor provides power-in recessed plug, power-out receptacle, switch drop cable receptacle, and switched power-out receptacle.</w:t>
      </w:r>
    </w:p>
    <w:p>
      <w:pPr>
        <w:pStyle w:val="P35"/>
      </w:pPr>
      <w:r>
        <w:t>Switch kits: shall be approved by the Consultant as portable equipment and shall be capable of connection or disconnection under full rated load.</w:t>
      </w:r>
    </w:p>
    <w:p>
      <w:pPr>
        <w:pStyle w:val="P34"/>
      </w:pPr>
      <w:r>
        <w:t>Multi-tap Adaptors</w:t>
      </w:r>
    </w:p>
    <w:p>
      <w:pPr>
        <w:pStyle w:val="P35"/>
      </w:pPr>
      <w:r>
        <w:t>Designed for circuit splitting. Multi-tap adaptor provides power in recessed plug and three power out receptacles.</w:t>
      </w:r>
    </w:p>
    <w:p>
      <w:pPr>
        <w:pStyle w:val="P34"/>
      </w:pPr>
      <w:r>
        <w:t>Phase-tap Adaptors</w:t>
      </w:r>
    </w:p>
    <w:p>
      <w:pPr>
        <w:pStyle w:val="P35"/>
      </w:pPr>
      <w:r>
        <w:t>Designed for splitting of 3 phase power supply into 3 single phase power receptacles. Phase-tap adaptor provides power-in recessed plug and 3 power-out receptacles. First power-out receptacle is connected and identified as phase "A"; second power-out is connected and identified as phase "B"; and third power-out receptacle is connected and identified as phase "C". All three power-out receptacles shall allow the connection of a single phase power drop cable.</w:t>
      </w:r>
    </w:p>
    <w:p>
      <w:pPr>
        <w:pStyle w:val="P34"/>
      </w:pPr>
      <w:r>
        <w:t>Wall Assemblies</w:t>
      </w:r>
    </w:p>
    <w:p>
      <w:pPr>
        <w:pStyle w:val="P35"/>
      </w:pPr>
      <w:r>
        <w:t>Wall assemblies shall be completely pre-wired in gangs of 1, 2, 4 or 6 as required.</w:t>
      </w:r>
    </w:p>
    <w:p>
      <w:pPr>
        <w:pStyle w:val="P35"/>
      </w:pPr>
      <w:r>
        <w:t xml:space="preserve">Wall assemblies shall be connected with armoured cables in accordance with CSA 22.2 No. 51-14 (AC90) c/w locknutless connectors and molded plugs.  The wall assemblies shall be ready for connection to the ceiling or under floor distribution boxes with matching receptacles.</w:t>
      </w:r>
    </w:p>
    <w:p>
      <w:pPr>
        <w:pStyle w:val="P35"/>
      </w:pPr>
      <w:r>
        <w:t>Wall assemblies shall have adjustable wall supports for 12.5 mm or 15.5 mm drywall. Supports shall have fastening holes for mounting to studs or level for block walls.</w:t>
      </w:r>
    </w:p>
    <w:p>
      <w:pPr>
        <w:pStyle w:val="P35"/>
      </w:pPr>
      <w:r>
        <w:t>Use factory installed receptacles, barriers and cover plates (one per gang).</w:t>
      </w:r>
    </w:p>
    <w:p>
      <w:pPr>
        <w:pStyle w:val="P35"/>
      </w:pPr>
      <w:r>
        <w:t>Use factory installed armoured cables in accordance with CSA 22.2 No. 51-14 (AC90) flexible type raceway with internal throat connectors for telephone, data, communications etc.</w:t>
      </w:r>
    </w:p>
    <w:p>
      <w:pPr>
        <w:pStyle w:val="P35"/>
      </w:pPr>
      <w:r>
        <w:t>Use snap in style finishing plates and rings for the overlapping to drywall, block etc.</w:t>
      </w:r>
    </w:p>
    <w:p>
      <w:pPr>
        <w:pStyle w:val="P34"/>
      </w:pPr>
      <w:r>
        <w:t>Branch Feeders</w:t>
      </w:r>
    </w:p>
    <w:p>
      <w:pPr>
        <w:pStyle w:val="P35"/>
      </w:pPr>
      <w:r>
        <w:t xml:space="preserve">Armoured cables in accordance with CSA 22.2 No. 51-14 (AC90) or Approved Equivalent feeders for connection from the electrical panel to ceiling, wall or under-floor outlet/distribution assemblies as indicated on the Drawings. </w:t>
      </w:r>
    </w:p>
    <w:p>
      <w:pPr>
        <w:pStyle w:val="P33"/>
      </w:pPr>
      <w:r>
        <w:t>EXECUTION</w:t>
      </w:r>
    </w:p>
    <w:p>
      <w:pPr>
        <w:pStyle w:val="P34"/>
      </w:pPr>
      <w:r>
        <w:t>Installation</w:t>
      </w:r>
    </w:p>
    <w:p>
      <w:pPr>
        <w:pStyle w:val="P35"/>
      </w:pPr>
      <w:r>
        <w:t>Install the system and components in accordance with the manufacturer's instructions.</w:t>
      </w:r>
    </w:p>
    <w:p>
      <w:pPr>
        <w:pStyle w:val="P35"/>
      </w:pPr>
      <w:r>
        <w:t>Install and connect the branch feeders from the electrical panel to the circuit ceiling outlet/distribution assemblies as indicated on the Drawings.</w:t>
      </w:r>
    </w:p>
    <w:p>
      <w:pPr>
        <w:pStyle w:val="P35"/>
      </w:pPr>
      <w:r>
        <w:t>Install starter cables to circuit outlet boxes and connect to power circuit and energize.</w:t>
      </w:r>
    </w:p>
    <w:p>
      <w:pPr>
        <w:pStyle w:val="P35"/>
      </w:pPr>
      <w:r>
        <w:t>Install multi tap adaptors and phase tap adaptors for circuit switching and splitting as required.</w:t>
      </w:r>
    </w:p>
    <w:p>
      <w:pPr>
        <w:pStyle w:val="P35"/>
      </w:pPr>
      <w:r>
        <w:t>Install joiner cables between interceptors in fixtures or equipment. Allow extra cable to facilitate removal and relocation of fixtures or equipment.</w:t>
      </w:r>
    </w:p>
    <w:p>
      <w:pPr>
        <w:pStyle w:val="P35"/>
      </w:pPr>
      <w:r>
        <w:t>Install blanking plugs in unconnected receptacles.</w:t>
      </w:r>
    </w:p>
    <w:p>
      <w:pPr>
        <w:pStyle w:val="P35"/>
      </w:pPr>
      <w:r>
        <w:t>Install wall assemblies as shown on the Drawings and connect to designated circuits.</w:t>
      </w:r>
    </w:p>
    <w:p>
      <w:pPr>
        <w:pStyle w:val="P35"/>
      </w:pPr>
      <w:r>
        <w:t>Integrally molded thermoplastic components shall match the colour identification system (for example, black for normal power, red for emergency power).</w:t>
      </w:r>
    </w:p>
    <w:p>
      <w:pPr>
        <w:pStyle w:val="P35"/>
      </w:pPr>
      <w:r>
        <w:t>On completion of the installation, the manufacturer’s representative shall be notified to carry out a Site inspection and report any inconsistencies to the Consultant. The Contractor shall perform any corrective work required for compliance with the requirements of the manufacturer’s report.</w:t>
      </w:r>
    </w:p>
    <w:p>
      <w:pPr>
        <w:pStyle w:val="P34"/>
        <w:rPr>
          <w:u w:val="none"/>
        </w:rPr>
      </w:pPr>
      <w:r>
        <w:t>Commissioning</w:t>
      </w:r>
      <w:r>
        <w:rPr>
          <w:u w:val="none"/>
        </w:rPr>
        <w:tab/>
        <w:tab/>
        <w:tab/>
      </w:r>
    </w:p>
    <w:p>
      <w:pPr>
        <w:pStyle w:val="P35"/>
        <w:numPr>
          <w:ilvl w:val="2"/>
          <w:numId w:val="0"/>
        </w:numPr>
        <w:ind w:left="720"/>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documentation required as part of the commissioning plan that shall be provided to the Consultant prior to the commencement of commissioning activities.</w:t>
      </w: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79"/>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16145</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Arial" w:hAnsi="Arial"/>
      </w:rPr>
    </w:pPr>
    <w:r>
      <w:rPr>
        <w:rFonts w:ascii="Arial" w:hAnsi="Arial"/>
        <w:b w:val="1"/>
      </w:rPr>
      <w:tab/>
      <w:t>MODULAR WIRING SYSTEM</w:t>
    </w:r>
    <w:r>
      <w:rPr>
        <w:rFonts w:ascii="Arial" w:hAnsi="Arial"/>
      </w:rPr>
      <w:tab/>
      <w:t>2013-06-18</w:t>
    </w:r>
  </w:p>
  <w:p>
    <w:pPr>
      <w:pBdr>
        <w:top w:val="single" w:sz="4" w:space="0" w:shadow="0" w:frame="0"/>
      </w:pBdr>
      <w:tabs>
        <w:tab w:val="center" w:pos="5175" w:leader="none"/>
        <w:tab w:val="right" w:pos="981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900" w:leader="none"/>
      </w:tabs>
      <w:rPr>
        <w:rFonts w:ascii="Calibri" w:hAnsi="Calibri"/>
      </w:rPr>
    </w:pPr>
    <w:r>
      <w:rPr>
        <w:rFonts w:ascii="Calibri" w:hAnsi="Calibri"/>
      </w:rPr>
      <w:t>CONTRACT NO</w:t>
    </w:r>
    <w:r>
      <w:rPr>
        <w:rFonts w:ascii="Calibri" w:hAnsi="Calibri"/>
        <w:highlight w:val="yellow"/>
      </w:rPr>
      <w:t>. [Insert Contract Number]</w:t>
    </w:r>
    <w:r>
      <w:rPr>
        <w:rFonts w:ascii="Calibri" w:hAnsi="Calibri"/>
      </w:rPr>
      <w:tab/>
      <w:t>Section 16145</w:t>
    </w:r>
  </w:p>
  <w:p>
    <w:pPr>
      <w:pBdr>
        <w:top w:val="single" w:sz="4" w:space="0" w:shadow="0" w:frame="0"/>
      </w:pBdr>
      <w:tabs>
        <w:tab w:val="left" w:pos="-1440" w:leader="none"/>
        <w:tab w:val="left" w:pos="-720" w:leader="none"/>
        <w:tab w:val="left" w:pos="0" w:leader="none"/>
        <w:tab w:val="center" w:pos="5220" w:leader="none"/>
        <w:tab w:val="right" w:pos="9900" w:leader="none"/>
      </w:tabs>
      <w:rPr>
        <w:rFonts w:ascii="Calibri" w:hAnsi="Calibri"/>
      </w:rPr>
    </w:pPr>
    <w:r>
      <w:rPr>
        <w:rFonts w:ascii="Calibri" w:hAnsi="Calibri"/>
        <w:b w:val="1"/>
      </w:rPr>
      <w:tab/>
      <w:t>MODULAR WIRING SYSTEM</w:t>
    </w:r>
    <w:r>
      <w:rPr>
        <w:rFonts w:ascii="Calibri" w:hAnsi="Calibri"/>
      </w:rPr>
      <w:tab/>
      <w:t>2015-02-04</w:t>
    </w:r>
  </w:p>
  <w:p>
    <w:pPr>
      <w:pBdr>
        <w:top w:val="single" w:sz="4" w:space="0" w:shadow="0" w:frame="0"/>
      </w:pBdr>
      <w:tabs>
        <w:tab w:val="center" w:pos="5175" w:leader="none"/>
        <w:tab w:val="right" w:pos="990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900" w:leader="none"/>
      </w:tabs>
      <w:rPr>
        <w:rFonts w:ascii="Calibri" w:hAnsi="Calibri"/>
      </w:rPr>
    </w:pPr>
    <w:r>
      <w:rPr>
        <w:rFonts w:ascii="Calibri" w:hAnsi="Calibri"/>
      </w:rPr>
      <w:t>Section 16145</w:t>
      <w:tab/>
      <w:t>CONTRACT NO</w:t>
    </w:r>
    <w:r>
      <w:rPr>
        <w:rFonts w:ascii="Calibri" w:hAnsi="Calibri"/>
        <w:highlight w:val="yellow"/>
      </w:rPr>
      <w:t>. [Insert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9900" w:leader="none"/>
      </w:tabs>
      <w:rPr>
        <w:rFonts w:ascii="Calibri" w:hAnsi="Calibri"/>
      </w:rPr>
    </w:pPr>
    <w:r>
      <w:rPr>
        <w:rFonts w:ascii="Calibri" w:hAnsi="Calibri"/>
      </w:rPr>
      <w:t>2015-02-04</w:t>
      <w:tab/>
    </w:r>
    <w:r>
      <w:rPr>
        <w:rFonts w:ascii="Calibri" w:hAnsi="Calibri"/>
        <w:b w:val="1"/>
      </w:rPr>
      <w:t>MODULAR WIRING SYSTEM</w:t>
    </w:r>
    <w:r>
      <w:rPr>
        <w:rFonts w:ascii="Calibri" w:hAnsi="Calibri"/>
      </w:rPr>
      <w:tab/>
    </w:r>
  </w:p>
  <w:p>
    <w:pPr>
      <w:pBdr>
        <w:top w:val="single" w:sz="4" w:space="0" w:shadow="0" w:frame="0"/>
      </w:pBdr>
      <w:tabs>
        <w:tab w:val="center" w:pos="5175" w:leader="none"/>
        <w:tab w:val="right" w:pos="9900" w:leader="none"/>
      </w:tabs>
      <w:rPr>
        <w:rFonts w:ascii="Arial" w:hAnsi="Arial"/>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Style w:val="C5"/>
        <w:rFonts w:ascii="Calibri" w:hAnsi="Calibri"/>
        <w:caps w:val="1"/>
        <w:sz w:val="22"/>
      </w:rPr>
      <w:tab/>
      <w:tab/>
    </w:r>
    <w:r>
      <w:rPr>
        <w:rFonts w:ascii="Calibri" w:hAnsi="Calibri"/>
      </w:rPr>
      <w:t xml:space="preserve">DATE:  </w:t>
    </w:r>
    <w:r>
      <w:rPr>
        <w:rFonts w:ascii="Calibri" w:hAnsi="Calibri"/>
        <w:highlight w:val="yellow"/>
      </w:rPr>
      <w:t>[Insert Date, (e.g. Jan., 2000)]</w:t>
    </w:r>
    <w:r>
      <w:rPr>
        <w:rFonts w:ascii="Arial" w:hAnsi="Arial"/>
      </w:rPr>
      <w:tab/>
      <w:tab/>
    </w:r>
  </w:p>
  <w:p>
    <w:pPr>
      <w:pStyle w:val="P10"/>
    </w:pPr>
  </w:p>
</w:hdr>
</file>

<file path=word/numbering.xml><?xml version="1.0" encoding="utf-8"?>
<w:numbering xmlns:w="http://schemas.openxmlformats.org/wordprocessingml/2006/main">
  <w:abstractNum w:abstractNumId="0">
    <w:nsid w:val="FFFFFF89"/>
    <w:multiLevelType w:val="hybridMultilevel"/>
    <w:lvl w:ilvl="0" w:tplc="251ADB05">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1"/>
    <w:multiLevelType w:val="multilevel"/>
    <w:lvl w:ilvl="0">
      <w:start w:val="1"/>
      <w:numFmt w:val="decimal"/>
      <w:suff w:val="tab"/>
      <w:lvlText w:val="%1"/>
      <w:lvlJc w:val="left"/>
      <w:pPr/>
      <w:rPr/>
    </w:lvl>
    <w:lvl w:ilvl="1">
      <w:start w:val="1"/>
      <w:numFmt w:val="decimal"/>
      <w:suff w:val="tab"/>
      <w:lvlText w:val="%1.%2"/>
      <w:lvlJc w:val="left"/>
      <w:pPr/>
      <w:rPr/>
    </w:lvl>
    <w:lvl w:ilvl="2">
      <w:start w:val="1"/>
      <w:numFmt w:val="decimal"/>
      <w:suff w:val="tab"/>
      <w:lvlText w:val=".%3"/>
      <w:lvlJc w:val="left"/>
      <w:pPr/>
      <w:rPr/>
    </w:lvl>
    <w:lvl w:ilvl="3">
      <w:start w:val="1"/>
      <w:numFmt w:val="decimal"/>
      <w:suff w:val="tab"/>
      <w:lvlText w:val=".%4"/>
      <w:lvlJc w:val="left"/>
      <w:pPr/>
      <w:rPr/>
    </w:lvl>
    <w:lvl w:ilvl="4">
      <w:start w:val="1"/>
      <w:numFmt w:val="decimal"/>
      <w:suff w:val="tab"/>
      <w:lvlText w:val=".%5"/>
      <w:lvlJc w:val="left"/>
      <w:pPr/>
      <w:rPr/>
    </w:lvl>
    <w:lvl w:ilvl="5">
      <w:start w:val="1"/>
      <w:numFmt w:val="decimal"/>
      <w:suff w:val="tab"/>
      <w:lvlText w:val=".%6"/>
      <w:lvlJc w:val="left"/>
      <w:pPr/>
      <w:rPr/>
    </w:lvl>
    <w:lvl w:ilvl="6">
      <w:start w:val="1"/>
      <w:numFmt w:val="decimal"/>
      <w:suff w:val="tab"/>
      <w:lvlText w:val=".%7"/>
      <w:lvlJc w:val="left"/>
      <w:pPr/>
      <w:rPr/>
    </w:lvl>
    <w:lvl w:ilvl="7">
      <w:start w:val="1"/>
      <w:numFmt w:val="decimal"/>
      <w:suff w:val="tab"/>
      <w:lvlText w:val=".%8"/>
      <w:lvlJc w:val="left"/>
      <w:pPr/>
      <w:rPr/>
    </w:lvl>
    <w:lvl w:ilvl="8">
      <w:start w:val="0"/>
      <w:numFmt w:val="decimal"/>
      <w:suff w:val="tab"/>
      <w:lvlText w:val=""/>
      <w:lvlJc w:val="left"/>
      <w:pPr/>
      <w:rPr/>
    </w:lvl>
  </w:abstractNum>
  <w:abstractNum w:abstractNumId="2">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6"/>
  </w:num>
  <w:num w:numId="5">
    <w:abstractNumId w:val="10"/>
  </w:num>
  <w:num w:numId="6">
    <w:abstractNumId w:val="5"/>
  </w:num>
  <w:num w:numId="7">
    <w:abstractNumId w:val="8"/>
  </w:num>
  <w:num w:numId="8">
    <w:abstractNumId w:val="3"/>
  </w:num>
  <w:num w:numId="9">
    <w:abstractNumId w:val="11"/>
  </w:num>
  <w:num w:numId="10">
    <w:abstractNumId w:val="7"/>
  </w:num>
  <w:num w:numId="11">
    <w:abstractNumId w:val="4"/>
  </w:num>
  <w:num w:numId="12">
    <w:abstractNumId w:val="2"/>
  </w:num>
  <w:num w:numId="13">
    <w:abstractNumId w:val="1"/>
    <w:lvlOverride w:ilvl="0">
      <w:startOverride w:val="1"/>
      <w:lvl w:ilvl="0">
        <w:start w:val="1"/>
        <w:numFmt w:val="decimal"/>
        <w:suff w:val="tab"/>
        <w:lvlText w:val="%1"/>
        <w:lvlJc w:val="left"/>
        <w:pPr/>
        <w:rPr/>
      </w:lvl>
    </w:lvlOverride>
    <w:lvlOverride w:ilvl="1">
      <w:startOverride w:val="1"/>
      <w:lvl w:ilvl="1">
        <w:start w:val="1"/>
        <w:numFmt w:val="decimal"/>
        <w:suff w:val="tab"/>
        <w:lvlText w:val="%1.%2"/>
        <w:lvlJc w:val="left"/>
        <w:pPr/>
        <w:rPr/>
      </w:lvl>
    </w:lvlOverride>
    <w:lvlOverride w:ilvl="2">
      <w:startOverride w:val="1"/>
      <w:lvl w:ilvl="2">
        <w:start w:val="1"/>
        <w:numFmt w:val="decimal"/>
        <w:suff w:val="tab"/>
        <w:lvlText w:val=".%3"/>
        <w:lvlJc w:val="left"/>
        <w:pPr/>
        <w:rPr/>
      </w:lvl>
    </w:lvlOverride>
    <w:lvlOverride w:ilvl="3">
      <w:startOverride w:val="1"/>
      <w:lvl w:ilvl="3">
        <w:start w:val="1"/>
        <w:numFmt w:val="decimal"/>
        <w:suff w:val="tab"/>
        <w:lvlText w:val=".%4"/>
        <w:lvlJc w:val="left"/>
        <w:pPr/>
        <w:rPr/>
      </w:lvl>
    </w:lvlOverride>
    <w:lvlOverride w:ilvl="4">
      <w:startOverride w:val="1"/>
      <w:lvl w:ilvl="4">
        <w:start w:val="1"/>
        <w:numFmt w:val="decimal"/>
        <w:suff w:val="tab"/>
        <w:lvlText w:val=".%5"/>
        <w:lvlJc w:val="left"/>
        <w:pPr/>
        <w:rPr/>
      </w:lvl>
    </w:lvlOverride>
    <w:lvlOverride w:ilvl="5">
      <w:startOverride w:val="1"/>
      <w:lvl w:ilvl="5">
        <w:start w:val="1"/>
        <w:numFmt w:val="decimal"/>
        <w:suff w:val="tab"/>
        <w:lvlText w:val=".%6"/>
        <w:lvlJc w:val="left"/>
        <w:pPr/>
        <w:rPr/>
      </w:lvl>
    </w:lvlOverride>
    <w:lvlOverride w:ilvl="6">
      <w:startOverride w:val="1"/>
      <w:lvl w:ilvl="6">
        <w:start w:val="1"/>
        <w:numFmt w:val="decimal"/>
        <w:suff w:val="tab"/>
        <w:lvlText w:val=".%7"/>
        <w:lvlJc w:val="left"/>
        <w:pPr/>
        <w:rPr/>
      </w:lvl>
    </w:lvlOverride>
    <w:lvlOverride w:ilvl="7">
      <w:startOverride w:val="1"/>
      <w:lvl w:ilvl="7">
        <w:start w:val="1"/>
        <w:numFmt w:val="decimal"/>
        <w:suff w:val="tab"/>
        <w:lvlText w:val=".%8"/>
        <w:lvlJc w:val="left"/>
        <w:pPr/>
        <w:rPr/>
      </w:lvl>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link w:val="C12"/>
    <w:pPr>
      <w:spacing w:after="160"/>
    </w:pPr>
    <w:rPr>
      <w:rFonts w:ascii="Book Antiqua" w:hAnsi="Book Antiqua"/>
      <w:sz w:val="22"/>
    </w:rPr>
  </w:style>
  <w:style w:type="paragraph" w:styleId="P5">
    <w:name w:val="Comment Text"/>
    <w:basedOn w:val="P0"/>
    <w:next w:val="P5"/>
    <w:link w:val="C8"/>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P1"/>
    <w:basedOn w:val="P0"/>
    <w:next w:val="P21"/>
    <w:pPr>
      <w:widowControl w:val="0"/>
      <w:tabs>
        <w:tab w:val="left" w:pos="720" w:leader="none"/>
      </w:tabs>
      <w:ind w:hanging="684" w:left="720"/>
    </w:pPr>
    <w:rPr>
      <w:rFonts w:ascii="Univers" w:hAnsi="Univers"/>
    </w:rPr>
  </w:style>
  <w:style w:type="paragraph" w:styleId="P22">
    <w:name w:val="P2"/>
    <w:basedOn w:val="P0"/>
    <w:next w:val="P22"/>
    <w:pPr>
      <w:widowControl w:val="0"/>
      <w:tabs>
        <w:tab w:val="left" w:pos="1332" w:leader="none"/>
      </w:tabs>
      <w:ind w:hanging="540" w:left="1332"/>
    </w:pPr>
    <w:rPr>
      <w:rFonts w:ascii="Univers" w:hAnsi="Univers"/>
    </w:rPr>
  </w:style>
  <w:style w:type="paragraph" w:styleId="P23">
    <w:name w:val="Normal Table Text"/>
    <w:basedOn w:val="P0"/>
    <w:next w:val="P23"/>
    <w:pPr>
      <w:widowControl w:val="0"/>
      <w:spacing w:before="60" w:after="60"/>
    </w:pPr>
    <w:rPr>
      <w:rFonts w:ascii="Arial" w:hAnsi="Arial"/>
      <w:sz w:val="20"/>
    </w:rPr>
  </w:style>
  <w:style w:type="paragraph" w:styleId="P24">
    <w:name w:val="Table Heading"/>
    <w:basedOn w:val="P0"/>
    <w:next w:val="P24"/>
    <w:pPr>
      <w:widowControl w:val="0"/>
      <w:spacing w:before="60" w:after="60"/>
    </w:pPr>
    <w:rPr>
      <w:rFonts w:ascii="Arial" w:hAnsi="Arial"/>
      <w:b w:val="1"/>
      <w:sz w:val="20"/>
    </w:rPr>
  </w:style>
  <w:style w:type="paragraph" w:styleId="P25">
    <w:name w:val="Balloon Text"/>
    <w:basedOn w:val="P0"/>
    <w:next w:val="P25"/>
    <w:pPr/>
    <w:rPr>
      <w:rFonts w:ascii="Tahoma" w:hAnsi="Tahoma"/>
      <w:sz w:val="16"/>
    </w:rPr>
  </w:style>
  <w:style w:type="paragraph" w:styleId="P26">
    <w:name w:val="Bullet"/>
    <w:basedOn w:val="P4"/>
    <w:next w:val="P4"/>
    <w:pPr/>
    <w:rPr/>
  </w:style>
  <w:style w:type="paragraph" w:styleId="P27">
    <w:name w:val="CSA"/>
    <w:basedOn w:val="P4"/>
    <w:next w:val="P33"/>
    <w:pPr>
      <w:keepNext w:val="1"/>
      <w:spacing w:after="0"/>
    </w:pPr>
    <w:rPr>
      <w:b w:val="1"/>
      <w:caps w:val="1"/>
      <w:sz w:val="20"/>
    </w:rPr>
  </w:style>
  <w:style w:type="paragraph" w:styleId="P28">
    <w:name w:val="Footnote Text"/>
    <w:basedOn w:val="P4"/>
    <w:next w:val="P28"/>
    <w:pPr>
      <w:spacing w:after="0"/>
    </w:pPr>
    <w:rPr>
      <w:rFonts w:ascii="Arial" w:hAnsi="Arial"/>
      <w:sz w:val="16"/>
    </w:rPr>
  </w:style>
  <w:style w:type="paragraph" w:styleId="P29">
    <w:name w:val="Number"/>
    <w:basedOn w:val="P4"/>
    <w:next w:val="P4"/>
    <w:pPr>
      <w:spacing w:after="0"/>
      <w:ind w:hanging="360" w:left="360"/>
    </w:pPr>
    <w:rPr/>
  </w:style>
  <w:style w:type="paragraph" w:styleId="P30">
    <w:name w:val="Tick"/>
    <w:basedOn w:val="P4"/>
    <w:next w:val="P4"/>
    <w:pPr>
      <w:spacing w:after="0"/>
      <w:ind w:hanging="360" w:left="720"/>
    </w:pPr>
    <w:rPr/>
  </w:style>
  <w:style w:type="paragraph" w:styleId="P31">
    <w:name w:val="TOC 1"/>
    <w:basedOn w:val="P4"/>
    <w:next w:val="P44"/>
    <w:pPr>
      <w:tabs>
        <w:tab w:val="right" w:pos="8640" w:leader="dot"/>
      </w:tabs>
      <w:spacing w:after="0"/>
    </w:pPr>
    <w:rPr>
      <w:b w:val="1"/>
    </w:rPr>
  </w:style>
  <w:style w:type="paragraph" w:styleId="P32">
    <w:name w:val="Comment Subject"/>
    <w:basedOn w:val="P5"/>
    <w:next w:val="P5"/>
    <w:link w:val="C9"/>
    <w:pPr>
      <w:spacing w:before="0"/>
    </w:pPr>
    <w:rPr>
      <w:rFonts w:ascii="Book Antiqua" w:hAnsi="Book Antiqua"/>
      <w:b w:val="1"/>
      <w:sz w:val="20"/>
    </w:rPr>
  </w:style>
  <w:style w:type="paragraph" w:styleId="P33">
    <w:name w:val="Heading 1"/>
    <w:basedOn w:val="P7"/>
    <w:next w:val="P4"/>
    <w:qFormat/>
    <w:pPr>
      <w:keepNext w:val="1"/>
      <w:numPr>
        <w:numId w:val="3"/>
      </w:numPr>
      <w:tabs>
        <w:tab w:val="left" w:pos="1008" w:leader="none"/>
      </w:tabs>
      <w:spacing w:before="160"/>
      <w:outlineLvl w:val="0"/>
    </w:pPr>
    <w:rPr>
      <w:rFonts w:ascii="Calibri" w:hAnsi="Calibri"/>
      <w:b w:val="0"/>
      <w:caps w:val="1"/>
      <w:u w:val="single"/>
    </w:rPr>
  </w:style>
  <w:style w:type="paragraph" w:styleId="P34">
    <w:name w:val="Heading 2"/>
    <w:basedOn w:val="P7"/>
    <w:next w:val="P4"/>
    <w:link w:val="C11"/>
    <w:qFormat/>
    <w:pPr>
      <w:keepNext w:val="1"/>
      <w:keepLines w:val="1"/>
      <w:numPr>
        <w:ilvl w:val="1"/>
        <w:numId w:val="3"/>
      </w:numPr>
      <w:spacing w:before="80"/>
      <w:outlineLvl w:val="1"/>
    </w:pPr>
    <w:rPr>
      <w:rFonts w:ascii="Calibri" w:hAnsi="Calibri"/>
      <w:b w:val="0"/>
      <w:u w:val="single"/>
    </w:rPr>
  </w:style>
  <w:style w:type="paragraph" w:styleId="P35">
    <w:name w:val="Heading 3"/>
    <w:basedOn w:val="P7"/>
    <w:next w:val="P35"/>
    <w:link w:val="C7"/>
    <w:qFormat/>
    <w:pPr>
      <w:numPr>
        <w:ilvl w:val="2"/>
        <w:numId w:val="3"/>
      </w:numPr>
      <w:tabs>
        <w:tab w:val="clear" w:pos="720" w:leader="none"/>
      </w:tabs>
      <w:spacing w:before="80"/>
      <w:ind w:hanging="720" w:left="1440"/>
      <w:outlineLvl w:val="2"/>
    </w:pPr>
    <w:rPr>
      <w:rFonts w:ascii="Calibri" w:hAnsi="Calibri"/>
      <w:b w:val="0"/>
    </w:rPr>
  </w:style>
  <w:style w:type="paragraph" w:styleId="P36">
    <w:name w:val="Heading 4"/>
    <w:basedOn w:val="P7"/>
    <w:next w:val="P36"/>
    <w:link w:val="C10"/>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7">
    <w:name w:val="Heading 5"/>
    <w:basedOn w:val="P7"/>
    <w:next w:val="P37"/>
    <w:qFormat/>
    <w:pPr>
      <w:numPr>
        <w:ilvl w:val="4"/>
        <w:numId w:val="3"/>
      </w:numPr>
      <w:tabs>
        <w:tab w:val="clear" w:pos="720" w:leader="none"/>
        <w:tab w:val="left" w:pos="5760" w:leader="none"/>
      </w:tabs>
      <w:ind w:hanging="720" w:left="5760"/>
      <w:outlineLvl w:val="4"/>
    </w:pPr>
    <w:rPr>
      <w:rFonts w:ascii="Arial" w:hAnsi="Arial"/>
      <w:b w:val="0"/>
    </w:rPr>
  </w:style>
  <w:style w:type="paragraph" w:styleId="P38">
    <w:name w:val="Heading 6"/>
    <w:basedOn w:val="P7"/>
    <w:next w:val="P4"/>
    <w:qFormat/>
    <w:pPr>
      <w:numPr>
        <w:ilvl w:val="5"/>
        <w:numId w:val="3"/>
      </w:numPr>
      <w:tabs>
        <w:tab w:val="clear" w:pos="720" w:leader="none"/>
        <w:tab w:val="left" w:pos="6480" w:leader="none"/>
      </w:tabs>
      <w:ind w:hanging="720" w:left="6480"/>
      <w:outlineLvl w:val="5"/>
    </w:pPr>
    <w:rPr>
      <w:rFonts w:ascii="Arial" w:hAnsi="Arial"/>
      <w:b w:val="0"/>
    </w:rPr>
  </w:style>
  <w:style w:type="paragraph" w:styleId="P39">
    <w:name w:val="Caption"/>
    <w:basedOn w:val="P7"/>
    <w:next w:val="P0"/>
    <w:qFormat/>
    <w:pPr>
      <w:keepNext w:val="1"/>
      <w:spacing w:after="240"/>
    </w:pPr>
    <w:rPr>
      <w:b w:val="0"/>
      <w:i w:val="1"/>
      <w:sz w:val="20"/>
    </w:rPr>
  </w:style>
  <w:style w:type="paragraph" w:styleId="P40">
    <w:name w:val="Exhibit--Number"/>
    <w:basedOn w:val="P7"/>
    <w:next w:val="P46"/>
    <w:pPr>
      <w:spacing w:before="160"/>
    </w:pPr>
    <w:rPr>
      <w:caps w:val="1"/>
      <w:sz w:val="18"/>
    </w:rPr>
  </w:style>
  <w:style w:type="paragraph" w:styleId="P41">
    <w:name w:val="Title"/>
    <w:basedOn w:val="P7"/>
    <w:next w:val="P41"/>
    <w:qFormat/>
    <w:pPr>
      <w:keepNext w:val="1"/>
      <w:spacing w:before="160" w:after="30"/>
    </w:pPr>
    <w:rPr>
      <w:sz w:val="20"/>
    </w:rPr>
  </w:style>
  <w:style w:type="paragraph" w:styleId="P42">
    <w:name w:val="Table Body"/>
    <w:basedOn w:val="P12"/>
    <w:next w:val="P42"/>
    <w:pPr>
      <w:jc w:val="left"/>
    </w:pPr>
    <w:rPr>
      <w:b w:val="0"/>
    </w:rPr>
  </w:style>
  <w:style w:type="paragraph" w:styleId="P43">
    <w:name w:val="List Bullet"/>
    <w:basedOn w:val="P26"/>
    <w:next w:val="P43"/>
    <w:pPr>
      <w:numPr>
        <w:numId w:val="2"/>
      </w:numPr>
    </w:pPr>
    <w:rPr/>
  </w:style>
  <w:style w:type="paragraph" w:styleId="P44">
    <w:name w:val="TOC 2"/>
    <w:basedOn w:val="P31"/>
    <w:next w:val="P48"/>
    <w:pPr>
      <w:tabs>
        <w:tab w:val="left" w:pos="1008" w:leader="none"/>
      </w:tabs>
      <w:ind w:left="720"/>
    </w:pPr>
    <w:rPr>
      <w:b w:val="0"/>
    </w:rPr>
  </w:style>
  <w:style w:type="paragraph" w:styleId="P45">
    <w:name w:val="Contents"/>
    <w:basedOn w:val="P33"/>
    <w:next w:val="P4"/>
    <w:pPr/>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4"/>
    <w:pPr/>
    <w:rPr>
      <w:i w:val="1"/>
    </w:rPr>
  </w:style>
  <w:style w:type="paragraph" w:styleId="P50">
    <w:name w:val="TOC 4"/>
    <w:basedOn w:val="P48"/>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5"/>
    <w:rPr>
      <w:rFonts w:ascii="Calibri" w:hAnsi="Calibri"/>
      <w:b w:val="0"/>
    </w:rPr>
  </w:style>
  <w:style w:type="character" w:styleId="C8">
    <w:name w:val="Comment Text Char"/>
    <w:link w:val="P5"/>
    <w:rPr>
      <w:rFonts w:ascii="Arial" w:hAnsi="Arial"/>
    </w:rPr>
  </w:style>
  <w:style w:type="character" w:styleId="C9">
    <w:name w:val="Comment Subject Char"/>
    <w:link w:val="P32"/>
    <w:rPr>
      <w:rFonts w:ascii="Book Antiqua" w:hAnsi="Book Antiqua"/>
      <w:b w:val="1"/>
      <w:sz w:val="20"/>
    </w:rPr>
  </w:style>
  <w:style w:type="character" w:styleId="C10">
    <w:name w:val="Heading 4 Char"/>
    <w:link w:val="P36"/>
    <w:rPr>
      <w:rFonts w:ascii="Calibri" w:hAnsi="Calibri"/>
      <w:b w:val="0"/>
    </w:rPr>
  </w:style>
  <w:style w:type="character" w:styleId="C11">
    <w:name w:val="Heading 2 Char"/>
    <w:link w:val="P34"/>
    <w:rPr>
      <w:rFonts w:ascii="Calibri" w:hAnsi="Calibri"/>
      <w:b w:val="0"/>
      <w:u w:val="single"/>
    </w:rPr>
  </w:style>
  <w:style w:type="character" w:styleId="C12">
    <w:name w:val="Body Text Char"/>
    <w:link w:val="P4"/>
    <w:rPr>
      <w:rFonts w:ascii="Book Antiqua" w:hAnsi="Book Antiqua"/>
      <w:sz w:val="2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2015-03-06T18:51:00Z</dcterms:created>
  <cp:lastModifiedBy>Ray</cp:lastModifiedBy>
  <cp:lastPrinted>2006-08-30T11:50:00Z</cp:lastPrinted>
  <dcterms:modified xsi:type="dcterms:W3CDTF">2022-10-04T19:39:04Z</dcterms:modified>
  <cp:revision>4</cp:revision>
  <dc:title>16145_Modular_Wiring_System (Feb 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2015-02-04T00:00:00Z</vt:lpwstr>
  </property>
  <property fmtid="{D5CDD505-2E9C-101B-9397-08002B2CF9AE}" pid="4" name="Document Type">
    <vt:lpwstr>Technical Design Specification Templates</vt:lpwstr>
  </property>
</Properties>
</file>