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0ED8CD1" Type="http://schemas.openxmlformats.org/officeDocument/2006/relationships/officeDocument" Target="/word/document.xml" /><Relationship Id="coreR10ED8CD1" Type="http://schemas.openxmlformats.org/package/2006/relationships/metadata/core-properties" Target="/docProps/core.xml" /><Relationship Id="customR10ED8C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 reviews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b w:val="1"/>
                <w:sz w:val="22"/>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b w:val="1"/>
                <w:sz w:val="22"/>
              </w:rPr>
            </w:pPr>
            <w:r>
              <w:rPr>
                <w:rFonts w:ascii="Calibri" w:hAnsi="Calibri"/>
                <w:b w:val="1"/>
                <w:sz w:val="22"/>
              </w:rPr>
              <w:t xml:space="preserve">Updated, Finalized Specification – Reference eDOCS #5630509  v9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p>
        </w:tc>
      </w:tr>
    </w:tbl>
    <w:p>
      <w:pPr>
        <w:pStyle w:val="P35"/>
        <w:numPr>
          <w:ilvl w:val="0"/>
          <w:numId w:val="0"/>
        </w:num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pPr>
    </w:p>
    <w:p>
      <w:pPr>
        <w:pStyle w:val="P35"/>
      </w:pPr>
      <w:bookmarkEnd w:id="0"/>
      <w:bookmarkEnd w:id="1"/>
      <w:bookmarkEnd w:id="2"/>
      <w:r>
        <w:br w:type="page"/>
        <w:t>GEneral</w:t>
      </w:r>
    </w:p>
    <w:p>
      <w:pPr>
        <w:pStyle w:val="P36"/>
      </w:pPr>
      <w:r>
        <w:t>Related Sections</w:t>
      </w:r>
    </w:p>
    <w:p>
      <w:pPr>
        <w:pStyle w:val="P37"/>
        <w:numPr>
          <w:ilvl w:val="2"/>
          <w:numId w:val="0"/>
        </w:numPr>
        <w:ind w:left="720"/>
        <w:rPr>
          <w:highlight w:val="lightGray"/>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highlight w:val="lightGray"/>
        </w:rPr>
      </w:pPr>
    </w:p>
    <w:p>
      <w:pPr>
        <w:pStyle w:val="P37"/>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highlight w:val="yellow"/>
        </w:rPr>
      </w:pPr>
    </w:p>
    <w:p>
      <w:pPr>
        <w:pStyle w:val="P37"/>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7"/>
        <w:numPr>
          <w:ilvl w:val="2"/>
          <w:numId w:val="0"/>
        </w:numPr>
        <w:ind w:left="720"/>
        <w:rPr>
          <w:highlight w:val="yellow"/>
        </w:rPr>
      </w:pPr>
    </w:p>
    <w:p>
      <w:pPr>
        <w:pStyle w:val="P37"/>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highlight w:val="lightGray"/>
        </w:rPr>
      </w:pPr>
    </w:p>
    <w:p>
      <w:pPr>
        <w:pStyle w:val="P37"/>
        <w:numPr>
          <w:ilvl w:val="2"/>
          <w:numId w:val="0"/>
        </w:numPr>
        <w:ind w:left="720"/>
      </w:pPr>
      <w:r>
        <w:rPr>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20"/>
      </w:pPr>
      <w:r>
        <w:rPr>
          <w:highlight w:val="yellow"/>
        </w:rPr>
        <w:t>[List Sections specifying related requirements.]</w:t>
      </w:r>
    </w:p>
    <w:p>
      <w:pPr>
        <w:pStyle w:val="P37"/>
      </w:pPr>
      <w:r>
        <w:t xml:space="preserve">Section </w:t>
      </w:r>
      <w:r>
        <w:rPr>
          <w:highlight w:val="yellow"/>
        </w:rPr>
        <w:t>[______ – ____________]</w:t>
      </w:r>
      <w:r>
        <w:t xml:space="preserve">:  </w:t>
      </w:r>
      <w:r>
        <w:rPr>
          <w:highlight w:val="yellow"/>
        </w:rPr>
        <w:t>[Optional short phrase indicating relationship]</w:t>
      </w:r>
      <w:r>
        <w:t>.</w:t>
      </w:r>
    </w:p>
    <w:p>
      <w:pPr>
        <w:pStyle w:val="P38"/>
      </w:pPr>
      <w:r>
        <w:t>Section 01250 – Substitutions</w:t>
      </w:r>
    </w:p>
    <w:p>
      <w:pPr>
        <w:pStyle w:val="P38"/>
      </w:pPr>
      <w:r>
        <w:t>Section 01425 – Computerized Maintenance Management System Data Requirements</w:t>
      </w:r>
    </w:p>
    <w:p>
      <w:pPr>
        <w:pStyle w:val="P38"/>
      </w:pPr>
      <w:r>
        <w:t>Section 01810 – Equipment Testing and Facility Commissioning</w:t>
      </w:r>
    </w:p>
    <w:p>
      <w:pPr>
        <w:pStyle w:val="P38"/>
      </w:pPr>
      <w:r>
        <w:t xml:space="preserve">Section 16010 – Electrical General Requirements </w:t>
      </w:r>
    </w:p>
    <w:p>
      <w:pPr>
        <w:pStyle w:val="P38"/>
        <w:rPr>
          <w:highlight w:val="yellow"/>
        </w:rPr>
      </w:pPr>
      <w:r>
        <w:rPr>
          <w:highlight w:val="yellow"/>
        </w:rPr>
        <w:t>[Division 13 – SCADA and Instrumentation – insert applicable specifications]</w:t>
      </w:r>
    </w:p>
    <w:p>
      <w:pPr>
        <w:pStyle w:val="P38"/>
      </w:pPr>
      <w:r>
        <w:t xml:space="preserve">Product requirements for </w:t>
      </w:r>
      <w:r>
        <w:rPr>
          <w:highlight w:val="yellow"/>
        </w:rPr>
        <w:t>[item]...</w:t>
      </w:r>
      <w:r>
        <w:t xml:space="preserve">  for installation under this Section</w:t>
      </w:r>
    </w:p>
    <w:p>
      <w:pPr>
        <w:pStyle w:val="P36"/>
      </w:pPr>
      <w:r>
        <w:t>References</w:t>
      </w:r>
    </w:p>
    <w:p>
      <w:pPr>
        <w:pStyle w:val="P37"/>
      </w:pPr>
      <w:r>
        <w:t>American National Standards Institute (ANSI) / Institute of Electrical and Electronics Engineers (IEEE)</w:t>
      </w:r>
    </w:p>
    <w:p>
      <w:pPr>
        <w:pStyle w:val="P38"/>
      </w:pPr>
      <w:r>
        <w:t>Air circuit breaker in accordance with ANSI/IEEE C37.13-2008, IEEE Standard for Low-Voltage AC Power Circuit Breakers Used in Enclosures, as amended by IEEE C37.13a-2012, IEEE Standard for Low-Voltage AC Power Circuit Breakers Used in Enclosures Amendment 1: Increase of Voltages to 1000 V AC and Below.</w:t>
      </w:r>
    </w:p>
    <w:p>
      <w:pPr>
        <w:pStyle w:val="P38"/>
      </w:pPr>
      <w:r>
        <w:t xml:space="preserve">IEEE Standard 1015-2006, IEEE Recommended Practice for Applying Low-Voltage Circuit Breakers Used in Industrial and Commercial Power Systems. </w:t>
      </w:r>
    </w:p>
    <w:p>
      <w:pPr>
        <w:pStyle w:val="P37"/>
      </w:pPr>
      <w:r>
        <w:t>Canadian Standards Association (CSA)</w:t>
      </w:r>
    </w:p>
    <w:p>
      <w:pPr>
        <w:pStyle w:val="P38"/>
        <w:tabs>
          <w:tab w:val="clear" w:pos="2160" w:leader="none"/>
          <w:tab w:val="left" w:pos="2610" w:leader="none"/>
        </w:tabs>
        <w:ind w:left="2610"/>
      </w:pPr>
      <w:r>
        <w:t>C22.2 NO. 5-13, Molded-case circuit breakers, molded-case switches and circuit-breaker enclosures (Tri-national standard, with UL 489 and NMX-J-266-ANCE-2013).</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pPr>
      <w:r>
        <w:t>Product Data</w:t>
      </w:r>
    </w:p>
    <w:p>
      <w:pPr>
        <w:pStyle w:val="P37"/>
        <w:rPr>
          <w:highlight w:val="yellow"/>
        </w:rPr>
      </w:pPr>
      <w:r>
        <w:t xml:space="preserve">Submit Product data in accordance with </w:t>
      </w:r>
      <w:r>
        <w:rPr>
          <w:highlight w:val="yellow"/>
        </w:rPr>
        <w:t xml:space="preserve">Section 01300 – Submittals. </w:t>
      </w:r>
    </w:p>
    <w:p>
      <w:pPr>
        <w:pStyle w:val="P37"/>
      </w:pPr>
      <w:r>
        <w:t xml:space="preserve">Equipment shall be in accordance with </w:t>
      </w:r>
      <w:r>
        <w:rPr>
          <w:highlight w:val="yellow"/>
        </w:rPr>
        <w:t>Section 16010 – Electrical General Requirements</w:t>
      </w:r>
      <w:r>
        <w:t xml:space="preserve">. </w:t>
      </w:r>
    </w:p>
    <w:p>
      <w:pPr>
        <w:pStyle w:val="P37"/>
      </w:pPr>
      <w:r>
        <w:t>Include time-current characteristic curves for breakers with interrupting capacity of 22,000 A symmetrical (rms) and over at system voltage.</w:t>
      </w:r>
    </w:p>
    <w:p>
      <w:pPr>
        <w:pStyle w:val="P37"/>
        <w:rPr>
          <w:highlight w:val="yellow"/>
        </w:rPr>
      </w:pPr>
      <w:r>
        <w:t xml:space="preserve">Submit all other required information as detailed in the equipment information template in an electronic format suitable for upload to the Region’s CMMS (Maximo) and in accordance with </w:t>
      </w:r>
      <w:r>
        <w:rPr>
          <w:highlight w:val="yellow"/>
        </w:rPr>
        <w:t>Section 01430 – Operation and Maintenance Data</w:t>
      </w:r>
      <w:r>
        <w:t xml:space="preserve"> and </w:t>
      </w:r>
      <w:r>
        <w:rPr>
          <w:highlight w:val="yellow"/>
        </w:rPr>
        <w:t>Section 01425 - Computerized Maintenance Management System Data Requirements.</w:t>
      </w:r>
    </w:p>
    <w:p>
      <w:pPr>
        <w:pStyle w:val="P36"/>
      </w:pPr>
      <w:r>
        <w:t>Field Quality Control</w:t>
      </w:r>
    </w:p>
    <w:p>
      <w:pPr>
        <w:pStyle w:val="P37"/>
        <w:rPr>
          <w:highlight w:val="yellow"/>
        </w:rPr>
      </w:pPr>
      <w:r>
        <w:t xml:space="preserve">Perform tests in accordance with </w:t>
      </w:r>
      <w:r>
        <w:rPr>
          <w:highlight w:val="yellow"/>
        </w:rPr>
        <w:t>Section 16031 – Inspection and Testing, Section 16010 – Electrical General Requirements and Section 01810 – Equipment Testing and Facility Commissioning.</w:t>
      </w:r>
    </w:p>
    <w:p>
      <w:pPr>
        <w:pStyle w:val="P37"/>
      </w:pPr>
      <w:r>
        <w:t>Check factory made connections for mechanical security and electrical continuity.</w:t>
      </w:r>
    </w:p>
    <w:p>
      <w:pPr>
        <w:pStyle w:val="P37"/>
      </w:pPr>
      <w:r>
        <w:t>Check trip unit settings and to ensure proper working operation and protection of the components.</w:t>
      </w:r>
    </w:p>
    <w:p>
      <w:pPr>
        <w:pStyle w:val="P35"/>
      </w:pPr>
      <w:r>
        <w:t>PRODUCTS</w:t>
      </w:r>
    </w:p>
    <w:p>
      <w:pPr>
        <w:pStyle w:val="P36"/>
      </w:pPr>
      <w:r>
        <w:t>Breakers General</w:t>
      </w:r>
    </w:p>
    <w:p>
      <w:pPr>
        <w:pStyle w:val="P37"/>
      </w:pPr>
      <w:r>
        <w:t xml:space="preserve">Bolt-on Moulded Case Circuit Breaker: Quick- make, quick-break type, for manual and automatic operation with temperature compensation for 40°C ambient. </w:t>
      </w:r>
    </w:p>
    <w:p>
      <w:pPr>
        <w:pStyle w:val="P37"/>
      </w:pPr>
      <w:r>
        <w:t xml:space="preserve">Plug-in Moulded Case Circuit Breakers: Quick- make, quick-break type, for manual and automatic operation with temperature compensation for 40°C ambient. </w:t>
      </w:r>
    </w:p>
    <w:p>
      <w:pPr>
        <w:pStyle w:val="P37"/>
      </w:pPr>
      <w:r>
        <w:t xml:space="preserve">Common-trip Breakers: With single handle for multi-pole applications. </w:t>
      </w:r>
    </w:p>
    <w:p>
      <w:pPr>
        <w:pStyle w:val="P37"/>
      </w:pPr>
      <w:r>
        <w:t xml:space="preserve">Magnetic instantaneous trip elements in circuit breakers shall operate only when the value of current reaches setting.  Trip settings on breakers with adjustable trips shall range from </w:t>
      </w:r>
      <w:r>
        <w:rPr>
          <w:highlight w:val="yellow"/>
        </w:rPr>
        <w:t>[3 to 8]</w:t>
      </w:r>
      <w:r>
        <w:t xml:space="preserve"> times the current rating. </w:t>
      </w:r>
    </w:p>
    <w:p>
      <w:pPr>
        <w:pStyle w:val="P37"/>
      </w:pPr>
      <w:r>
        <w:t>Circuit breakers with interchangeable trips as indicated in the Contract Documents.</w:t>
      </w:r>
    </w:p>
    <w:p>
      <w:pPr>
        <w:pStyle w:val="P37"/>
      </w:pPr>
      <w:r>
        <w:t>NEMA rated equipment only</w:t>
      </w:r>
      <w:r>
        <w:rPr>
          <w:highlight w:val="yellow"/>
        </w:rPr>
        <w:t xml:space="preserve">. [EEMAC standards are outdated but may be considered if there are no current equivalent applicable standards available. If EEMAC standards are to be applied, the Consultant will review the standards and replace with an equivalent NEMA  standard] </w:t>
      </w:r>
    </w:p>
    <w:p>
      <w:pPr>
        <w:pStyle w:val="P36"/>
      </w:pPr>
      <w:r>
        <w:t xml:space="preserve">Thermal Magnetic Breakers </w:t>
      </w:r>
      <w:r>
        <w:rPr>
          <w:highlight w:val="yellow"/>
        </w:rPr>
        <w:t>[Design A]</w:t>
      </w:r>
    </w:p>
    <w:p>
      <w:pPr>
        <w:pStyle w:val="P37"/>
      </w:pPr>
      <w:r>
        <w:t xml:space="preserve">Moulded case circuit breaker shall operate automatically by means of thermal and magnetic tripping devices to provide inverse time current tripping and instantaneous tripping for short circuit protection. </w:t>
      </w:r>
    </w:p>
    <w:p>
      <w:pPr>
        <w:pStyle w:val="P36"/>
      </w:pPr>
      <w:r>
        <w:t xml:space="preserve">Magnetic Breaker </w:t>
      </w:r>
      <w:r>
        <w:rPr>
          <w:highlight w:val="yellow"/>
        </w:rPr>
        <w:t>[Design B]</w:t>
      </w:r>
    </w:p>
    <w:p>
      <w:pPr>
        <w:pStyle w:val="P37"/>
      </w:pPr>
      <w:r>
        <w:t xml:space="preserve">Moulded case circuit breaker shall operate automatically by means of magnetic tripping devices to provide instantaneous tripping for short circuit protection. </w:t>
      </w:r>
    </w:p>
    <w:p>
      <w:pPr>
        <w:pStyle w:val="P36"/>
      </w:pPr>
      <w:r>
        <w:t xml:space="preserve">Fused Thermal Magnetic Breakers </w:t>
      </w:r>
      <w:r>
        <w:rPr>
          <w:highlight w:val="yellow"/>
        </w:rPr>
        <w:t>[Design C]</w:t>
      </w:r>
    </w:p>
    <w:p>
      <w:pPr>
        <w:pStyle w:val="P37"/>
      </w:pPr>
      <w:r>
        <w:rPr>
          <w:highlight w:val="yellow"/>
        </w:rPr>
        <w:t>[Where the available short circuit currents exceed the rating of standard thermal magnetic breakers range, the Contractor shall propose suitably rated (and approved by the Consultant) fused breakers suitable for the short circuit currents found. Adhere to the recommendations of the fuse and breaker manufacturers applicable to the conditions. Use magnetic breakers only when short circuit protection only is required. Consultant to approve Contractor proposed fused breakers for any deviations from the Contract Documents]</w:t>
      </w:r>
      <w:r>
        <w:t xml:space="preserve"> </w:t>
      </w:r>
    </w:p>
    <w:p>
      <w:pPr>
        <w:pStyle w:val="P37"/>
      </w:pPr>
      <w:r>
        <w:t xml:space="preserve">Fused thermal magnetic breakers with current limiting fuses internally mounted.  Time current limiting characteristics of fuses coordinated with time current tripping characteristics of circuit breaker. Coordination shall result in interruption by breaker of fault-level currents up to interrupting capacity of breaker.  Fuses individually removable and interlocked with breaker.  The removal of a fuse cover, blowing of a fuse or removal of a fuse, shall trip the breaker. </w:t>
      </w:r>
    </w:p>
    <w:p>
      <w:pPr>
        <w:pStyle w:val="P36"/>
      </w:pPr>
      <w:r>
        <w:t xml:space="preserve">Solid State Trip Breakers </w:t>
      </w:r>
      <w:r>
        <w:rPr>
          <w:highlight w:val="yellow"/>
        </w:rPr>
        <w:t>[Design D]</w:t>
      </w:r>
    </w:p>
    <w:p>
      <w:pPr>
        <w:pStyle w:val="P37"/>
      </w:pPr>
      <w:r>
        <w:t xml:space="preserve">Moulded case circuit breaker shall operate by means of a solid-state trip unit with associated current monitors and self-powered shunt trip to provide inverse time current trip under overload condition, and long time, short time, instantaneous tripping for phase, ground fault short circuit protection. </w:t>
      </w:r>
    </w:p>
    <w:p>
      <w:pPr>
        <w:pStyle w:val="P36"/>
      </w:pPr>
      <w:r>
        <w:t>Enclosure</w:t>
      </w:r>
    </w:p>
    <w:p>
      <w:pPr>
        <w:pStyle w:val="P37"/>
      </w:pPr>
      <w:r>
        <w:t xml:space="preserve">Mounted in NEMA 1 type enclosure, sprinkler proof as indicated in the Contract Documents or </w:t>
      </w:r>
      <w:r>
        <w:rPr>
          <w:i w:val="1"/>
          <w:highlight w:val="yellow"/>
        </w:rPr>
        <w:t>[</w:t>
      </w:r>
      <w:r>
        <w:rPr>
          <w:i w:val="1"/>
          <w:highlight w:val="yellow"/>
        </w:rPr>
        <w:t>Consultant to s</w:t>
      </w:r>
      <w:r>
        <w:rPr>
          <w:i w:val="1"/>
          <w:highlight w:val="yellow"/>
        </w:rPr>
        <w:t>pecify enclosure for individually mounted breakers.</w:t>
      </w:r>
      <w:r>
        <w:rPr>
          <w:i w:val="1"/>
          <w:highlight w:val="yellow"/>
        </w:rPr>
        <w:t>]</w:t>
      </w:r>
    </w:p>
    <w:p>
      <w:pPr>
        <w:pStyle w:val="P35"/>
      </w:pPr>
      <w:r>
        <w:t>EXECUTION</w:t>
      </w:r>
    </w:p>
    <w:p>
      <w:pPr>
        <w:pStyle w:val="P36"/>
      </w:pPr>
      <w:r>
        <w:t>Installation</w:t>
      </w:r>
    </w:p>
    <w:p>
      <w:pPr>
        <w:pStyle w:val="P37"/>
      </w:pPr>
      <w:r>
        <w:t>Install circuit breakers as indicated on the Contract Drawings.</w:t>
      </w:r>
    </w:p>
    <w:p>
      <w:pPr>
        <w:pStyle w:val="P37"/>
      </w:pPr>
      <w:r>
        <w:t xml:space="preserve">For component and system commissioning activities refer to </w:t>
      </w:r>
      <w:r>
        <w:rPr>
          <w:highlight w:val="yellow"/>
        </w:rPr>
        <w:t>Section 01810 – Equipment Testing and Facility Commissioning.</w:t>
      </w:r>
      <w:r>
        <w:t xml:space="preserve"> It is recognized that overall system commissioning activities highly depend on properly functioning and fully documented components as detailed in this Section.</w:t>
      </w:r>
    </w:p>
    <w:p>
      <w:pPr>
        <w:pStyle w:val="P36"/>
      </w:pPr>
      <w:r>
        <w:t>Commissioning</w:t>
      </w:r>
    </w:p>
    <w:p>
      <w:pPr>
        <w:pStyle w:val="P37"/>
      </w:pPr>
      <w:r>
        <w:t xml:space="preserve">For all commissioning activities on systems where components of this Section are integral to functionality, refer to </w:t>
      </w:r>
      <w:r>
        <w:rPr>
          <w:highlight w:val="yellow"/>
        </w:rPr>
        <w:t>Section 01810 – Equipment Testing and Facility Commissionin</w:t>
      </w:r>
      <w:r>
        <w:t>g. All inspection and testing activities shall be completed in accordance with the commissioning plan that shall be provided to the Consultant prior to the commencement of commissioning activities.</w:t>
      </w:r>
    </w:p>
    <w:p>
      <w:pPr>
        <w:pStyle w:val="P18"/>
        <w:spacing w:before="240"/>
        <w:jc w:val="center"/>
        <w:rPr>
          <w:rFonts w:ascii="Calibri" w:hAnsi="Calibri"/>
          <w:b w:val="1"/>
          <w:sz w:val="22"/>
        </w:rPr>
      </w:pPr>
      <w:r>
        <w:rPr>
          <w:rFonts w:ascii="Calibri" w:hAnsi="Calibri"/>
          <w:b w:val="1"/>
          <w:sz w:val="22"/>
        </w:rPr>
        <w:t>END OF SECTION</w:t>
      </w:r>
    </w:p>
    <w:p>
      <w:pPr>
        <w:pStyle w:val="P36"/>
        <w:numPr>
          <w:ilvl w:val="1"/>
          <w:numId w:val="0"/>
        </w:numPr>
        <w:ind w:left="72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CONTRACT NO</w:t>
    </w:r>
    <w:r>
      <w:rPr>
        <w:highlight w:val="yellow"/>
      </w:rPr>
      <w:t>.... [Insert Region Number]</w:t>
    </w:r>
    <w:r>
      <w:tab/>
      <w:t>Section 16412</w:t>
    </w:r>
  </w:p>
  <w:p>
    <w:pPr>
      <w:pBdr>
        <w:top w:val="single" w:sz="4" w:space="0" w:shadow="0" w:frame="0"/>
      </w:pBdr>
      <w:tabs>
        <w:tab w:val="left" w:pos="-1440" w:leader="none"/>
        <w:tab w:val="left" w:pos="-720" w:leader="none"/>
        <w:tab w:val="left" w:pos="0" w:leader="none"/>
        <w:tab w:val="center" w:pos="5220" w:leader="none"/>
        <w:tab w:val="right" w:pos="9810" w:leader="none"/>
      </w:tabs>
    </w:pPr>
    <w:r>
      <w:rPr>
        <w:b w:val="1"/>
      </w:rPr>
      <w:tab/>
      <w:t>MO</w:t>
    </w:r>
    <w:r>
      <w:rPr>
        <w:b w:val="1"/>
      </w:rPr>
      <w:t>U</w:t>
    </w:r>
    <w:r>
      <w:rPr>
        <w:b w:val="1"/>
      </w:rPr>
      <w:t>LDED CASE CIRCUIT BREAKERS</w:t>
    </w:r>
    <w:r>
      <w:tab/>
      <w:t>2013-06-25</w:t>
    </w:r>
  </w:p>
  <w:p>
    <w:pPr>
      <w:pBdr>
        <w:top w:val="single" w:sz="4" w:space="0" w:shadow="0" w:frame="0"/>
      </w:pBdr>
      <w:tabs>
        <w:tab w:val="center" w:pos="5175" w:leader="none"/>
        <w:tab w:val="right" w:pos="981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 xml:space="preserve">CONTRACT NO. </w:t>
    </w:r>
    <w:r>
      <w:rPr>
        <w:highlight w:val="yellow"/>
      </w:rPr>
      <w:t>[Insert Contract Number]</w:t>
    </w:r>
    <w:r>
      <w:t xml:space="preserve"> </w:t>
      <w:tab/>
      <w:t>Section 16412</w:t>
      <w:tab/>
    </w:r>
  </w:p>
  <w:p>
    <w:pPr>
      <w:pBdr>
        <w:top w:val="single" w:sz="4" w:space="0" w:shadow="0" w:frame="0"/>
      </w:pBdr>
      <w:tabs>
        <w:tab w:val="left" w:pos="-1440" w:leader="none"/>
        <w:tab w:val="left" w:pos="-720" w:leader="none"/>
        <w:tab w:val="left" w:pos="0" w:leader="none"/>
        <w:tab w:val="center" w:pos="5220" w:leader="none"/>
        <w:tab w:val="right" w:pos="9810" w:leader="none"/>
      </w:tabs>
    </w:pPr>
    <w:r>
      <w:rPr>
        <w:b w:val="1"/>
      </w:rPr>
      <w:tab/>
      <w:t>MO</w:t>
    </w:r>
    <w:r>
      <w:rPr>
        <w:b w:val="1"/>
      </w:rPr>
      <w:t>U</w:t>
    </w:r>
    <w:r>
      <w:rPr>
        <w:b w:val="1"/>
      </w:rPr>
      <w:t>LDED CASE CIRCUIT BREAKERS</w:t>
    </w:r>
    <w:r>
      <w:rPr>
        <w:b w:val="1"/>
      </w:rPr>
      <w:t xml:space="preserve"> </w:t>
      <w:tab/>
    </w:r>
    <w:r>
      <w:t>2015-02-04</w:t>
      <w:tab/>
    </w:r>
  </w:p>
  <w:p>
    <w:pPr>
      <w:pBdr>
        <w:top w:val="single" w:sz="4" w:space="0" w:shadow="0" w:frame="0"/>
      </w:pBdr>
      <w:tabs>
        <w:tab w:val="center" w:pos="5175" w:leader="none"/>
        <w:tab w:val="right" w:pos="9810" w:leader="none"/>
      </w:tabs>
    </w:pPr>
    <w:r>
      <w:t xml:space="preserve">DATE:  </w:t>
    </w:r>
    <w:r>
      <w:rPr>
        <w:highlight w:val="yellow"/>
      </w:rPr>
      <w:t>[Insert Date (e.g. Jan., 2000)]</w:t>
    </w:r>
    <w:r>
      <w:t xml:space="preserve"> </w:t>
      <w:tab/>
      <w:tab/>
      <w:t xml:space="preserve">Page </w:t>
    </w:r>
    <w:r>
      <w:fldChar w:fldCharType="begin"/>
    </w:r>
    <w:r>
      <w:instrText xml:space="preserve">PAGE </w:instrText>
    </w:r>
    <w:r>
      <w:fldChar w:fldCharType="separate"/>
    </w:r>
    <w:r>
      <w:t>#</w:t>
    </w:r>
    <w:r>
      <w:fldChar w:fldCharType="end"/>
    </w:r>
    <w:r>
      <w:tab/>
      <w:tab/>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Section 16412</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220" w:leader="none"/>
        <w:tab w:val="right" w:pos="9810" w:leader="none"/>
      </w:tabs>
    </w:pPr>
    <w:r>
      <w:t>2015-02-04</w:t>
    </w:r>
    <w:r>
      <w:rPr>
        <w:b w:val="1"/>
      </w:rPr>
      <w:tab/>
      <w:t>MOULDED CASE CIRCUIT BREAKERS</w:t>
    </w:r>
    <w:r>
      <w:tab/>
    </w:r>
  </w:p>
  <w:p>
    <w:pPr>
      <w:pStyle w:val="P7"/>
      <w:tabs>
        <w:tab w:val="right" w:pos="9810" w:leader="none"/>
      </w:tabs>
      <w:spacing w:lineRule="auto" w:line="360"/>
      <w:jc w:val="left"/>
    </w:pPr>
    <w:r>
      <w:rPr>
        <w:rStyle w:val="C5"/>
        <w:rFonts w:ascii="Calibri" w:hAnsi="Calibri"/>
        <w:caps w:val="0"/>
        <w:sz w:val="22"/>
      </w:rPr>
      <w:t xml:space="preserve">Page </w:t>
    </w:r>
    <w:r>
      <w:rPr>
        <w:rStyle w:val="C5"/>
      </w:rPr>
      <w:fldChar w:fldCharType="begin"/>
    </w:r>
    <w:r>
      <w:rPr>
        <w:rStyle w:val="C5"/>
        <w:rFonts w:ascii="Calibri" w:hAnsi="Calibri"/>
        <w:caps w:val="0"/>
        <w:sz w:val="22"/>
      </w:rPr>
      <w:instrText xml:space="preserve"> PAGE   \* MERGEFORMAT </w:instrText>
    </w:r>
    <w:r>
      <w:rPr>
        <w:rStyle w:val="C5"/>
      </w:rPr>
      <w:fldChar w:fldCharType="separate"/>
    </w:r>
    <w:r>
      <w:rPr>
        <w:rStyle w:val="C5"/>
        <w:rFonts w:ascii="Calibri" w:hAnsi="Calibri"/>
        <w:caps w:val="0"/>
        <w:sz w:val="22"/>
      </w:rPr>
      <w:t>#</w:t>
    </w:r>
    <w:r>
      <w:rPr>
        <w:rStyle w:val="C5"/>
      </w:rPr>
      <w:fldChar w:fldCharType="end"/>
    </w:r>
    <w:r>
      <w:rPr>
        <w:rStyle w:val="C5"/>
        <w:rFonts w:ascii="Calibri" w:hAnsi="Calibri"/>
        <w:caps w:val="0"/>
        <w:sz w:val="22"/>
      </w:rPr>
      <w:tab/>
    </w:r>
    <w:r>
      <w:rPr>
        <w:rFonts w:ascii="Calibri" w:hAnsi="Calibri"/>
        <w:sz w:val="22"/>
      </w:rPr>
      <w:t xml:space="preserve">DATE:  </w:t>
    </w:r>
    <w:r>
      <w:rPr>
        <w:rFonts w:ascii="Calibri" w:hAnsi="Calibri"/>
        <w:sz w:val="22"/>
        <w:highlight w:val="yellow"/>
      </w:rPr>
      <w:t>[Insert Date (e.g. Jan., 2000)]</w:t>
    </w:r>
    <w:r>
      <w:rPr>
        <w:rStyle w:val="C5"/>
        <w:rFonts w:ascii="Calibri" w:hAnsi="Calibri"/>
        <w:caps w:val="0"/>
        <w:sz w:val="22"/>
      </w:rPr>
      <w:tab/>
    </w:r>
    <w:r>
      <w:rPr>
        <w:rFonts w:ascii="Calibri" w:hAnsi="Calibri"/>
      </w:rPr>
      <w:tab/>
    </w:r>
  </w:p>
</w:hdr>
</file>

<file path=word/numbering.xml><?xml version="1.0" encoding="utf-8"?>
<w:numbering xmlns:w="http://schemas.openxmlformats.org/wordprocessingml/2006/main">
  <w:abstractNum w:abstractNumId="0">
    <w:nsid w:val="FFFFFF89"/>
    <w:multiLevelType w:val="hybridMultilevel"/>
    <w:lvl w:ilvl="0" w:tplc="5956771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14C1D1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01950F2"/>
    <w:multiLevelType w:val="multilevel"/>
    <w:lvl w:ilvl="0">
      <w:start w:val="1"/>
      <w:numFmt w:val="decimal"/>
      <w:suff w:val="tab"/>
      <w:lvlText w:val="%1"/>
      <w:legacy w:legacy="1" w:legacyIndent="0" w:legacySpace="0"/>
      <w:lvlJc w:val="left"/>
      <w:pPr/>
      <w:rPr/>
    </w:lvl>
    <w:lvl w:ilvl="1">
      <w:start w:val="1"/>
      <w:numFmt w:val="decimal"/>
      <w:suff w:val="tab"/>
      <w:lvlText w:val=".%2"/>
      <w:legacy w:legacy="1" w:legacyIndent="0" w:legacySpace="0"/>
      <w:lvlJc w:val="left"/>
      <w:pPr/>
      <w:rPr/>
    </w:lvl>
    <w:lvl w:ilvl="2">
      <w:start w:val="1"/>
      <w:numFmt w:val="decimal"/>
      <w:suff w:val="tab"/>
      <w:lvlText w:val=".%3"/>
      <w:legacy w:legacy="1" w:legacyIndent="0" w:legacySpace="0"/>
      <w:lvlJc w:val="left"/>
      <w:pPr/>
      <w:rPr/>
    </w:lvl>
    <w:lvl w:ilvl="3">
      <w:start w:val="1"/>
      <w:numFmt w:val="decimal"/>
      <w:suff w:val="tab"/>
      <w:lvlText w:val=".%4"/>
      <w:legacy w:legacy="1" w:legacyIndent="0" w:legacySpace="0"/>
      <w:lvlJc w:val="left"/>
      <w:pPr/>
      <w:rPr/>
    </w:lvl>
    <w:lvl w:ilvl="4">
      <w:start w:val="1"/>
      <w:numFmt w:val="decimal"/>
      <w:suff w:val="tab"/>
      <w:lvlText w:val=".%5"/>
      <w:legacy w:legacy="1" w:legacyIndent="0" w:legacySpace="0"/>
      <w:lvlJc w:val="left"/>
      <w:pPr/>
      <w:rPr/>
    </w:lvl>
    <w:lvl w:ilvl="5">
      <w:start w:val="1"/>
      <w:numFmt w:val="decimal"/>
      <w:suff w:val="tab"/>
      <w:lvlText w:val=".%6"/>
      <w:legacy w:legacy="1" w:legacyIndent="0" w:legacySpace="0"/>
      <w:lvlJc w:val="left"/>
      <w:pPr/>
      <w:rPr/>
    </w:lvl>
    <w:lvl w:ilvl="6">
      <w:start w:val="1"/>
      <w:numFmt w:val="decimal"/>
      <w:suff w:val="tab"/>
      <w:lvlText w:val=".%7"/>
      <w:legacy w:legacy="1" w:legacyIndent="0" w:legacySpace="0"/>
      <w:lvlJc w:val="left"/>
      <w:pPr/>
      <w:rPr/>
    </w:lvl>
    <w:lvl w:ilvl="7">
      <w:start w:val="1"/>
      <w:numFmt w:val="decimal"/>
      <w:suff w:val="tab"/>
      <w:lvlText w:val=".%8"/>
      <w:legacy w:legacy="1" w:legacyIndent="0" w:legacySpace="0"/>
      <w:lvlJc w:val="left"/>
      <w:pPr/>
      <w:rPr/>
    </w:lvl>
    <w:lvl w:ilvl="8">
      <w:start w:val="1"/>
      <w:numFmt w:val="none"/>
      <w:suff w:val="tab"/>
      <w:lvlText w:val=""/>
      <w:legacy w:legacy="1" w:legacyIndent="0" w:legacySpace="0"/>
      <w:lvlJc w:val="left"/>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18504E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2"/>
  </w:num>
  <w:num w:numId="7">
    <w:abstractNumId w:val="6"/>
  </w:num>
  <w:num w:numId="8">
    <w:abstractNumId w:val="1"/>
  </w:num>
  <w:num w:numId="9">
    <w:abstractNumId w:val="12"/>
  </w:num>
  <w:num w:numId="10">
    <w:abstractNumId w:val="5"/>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
  </w:num>
  <w:num w:numId="14">
    <w:abstractNumId w:val="11"/>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9"/>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EndOfSection"/>
    <w:basedOn w:val="P0"/>
    <w:next w:val="P22"/>
    <w:pPr>
      <w:spacing w:before="600"/>
      <w:jc w:val="center"/>
    </w:pPr>
    <w:rPr>
      <w:rFonts w:ascii="Times New Roman" w:hAnsi="Times New Roman"/>
      <w:b w:val="1"/>
    </w:rPr>
  </w:style>
  <w:style w:type="paragraph" w:styleId="P23">
    <w:name w:val="Plain Text"/>
    <w:basedOn w:val="P0"/>
    <w:next w:val="P23"/>
    <w:link w:val="C10"/>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link w:val="C9"/>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aliases w:val="Contents - level1 Char"/>
    <w:basedOn w:val="P24"/>
    <w:next w:val="P35"/>
    <w:link w:val="C11"/>
    <w:qFormat/>
    <w:pPr>
      <w:numPr>
        <w:numId w:val="23"/>
      </w:numPr>
      <w:spacing w:before="160"/>
      <w:contextualSpacing w:val="1"/>
      <w:outlineLvl w:val="0"/>
    </w:pPr>
    <w:rPr>
      <w:rFonts w:ascii="Calibri" w:hAnsi="Calibri"/>
      <w:caps w:val="1"/>
    </w:rPr>
  </w:style>
  <w:style w:type="paragraph" w:styleId="P36">
    <w:name w:val="Heading 2"/>
    <w:basedOn w:val="P24"/>
    <w:next w:val="P0"/>
    <w:link w:val="C12"/>
    <w:qFormat/>
    <w:pPr>
      <w:numPr>
        <w:ilvl w:val="1"/>
        <w:numId w:val="23"/>
      </w:numPr>
      <w:spacing w:before="80"/>
      <w:contextualSpacing w:val="1"/>
      <w:outlineLvl w:val="1"/>
    </w:pPr>
    <w:rPr>
      <w:rFonts w:ascii="Calibri" w:hAnsi="Calibri"/>
      <w:u w:val="single"/>
    </w:rPr>
  </w:style>
  <w:style w:type="paragraph" w:styleId="P37">
    <w:name w:val="Heading 3"/>
    <w:basedOn w:val="P24"/>
    <w:next w:val="P37"/>
    <w:link w:val="C7"/>
    <w:qFormat/>
    <w:pPr>
      <w:numPr>
        <w:ilvl w:val="2"/>
        <w:numId w:val="23"/>
      </w:numPr>
      <w:contextualSpacing w:val="1"/>
      <w:outlineLvl w:val="2"/>
    </w:pPr>
    <w:rPr/>
  </w:style>
  <w:style w:type="paragraph" w:styleId="P38">
    <w:name w:val="Heading 4"/>
    <w:basedOn w:val="P24"/>
    <w:next w:val="P38"/>
    <w:link w:val="C13"/>
    <w:qFormat/>
    <w:pPr>
      <w:numPr>
        <w:ilvl w:val="3"/>
        <w:numId w:val="23"/>
      </w:numPr>
      <w:contextualSpacing w:val="1"/>
      <w:outlineLvl w:val="3"/>
    </w:pPr>
    <w:rPr/>
  </w:style>
  <w:style w:type="paragraph" w:styleId="P39">
    <w:name w:val="Heading 7"/>
    <w:basedOn w:val="P24"/>
    <w:next w:val="P0"/>
    <w:link w:val="C16"/>
    <w:qFormat/>
    <w:pPr>
      <w:numPr>
        <w:ilvl w:val="6"/>
        <w:numId w:val="23"/>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4"/>
    <w:qFormat/>
    <w:pPr>
      <w:numPr>
        <w:ilvl w:val="4"/>
        <w:numId w:val="23"/>
      </w:numPr>
      <w:outlineLvl w:val="4"/>
    </w:pPr>
    <w:rPr/>
  </w:style>
  <w:style w:type="paragraph" w:styleId="P46">
    <w:name w:val="Heading 8"/>
    <w:basedOn w:val="P39"/>
    <w:next w:val="P0"/>
    <w:link w:val="C17"/>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5"/>
    <w:qFormat/>
    <w:pPr>
      <w:numPr>
        <w:ilvl w:val="5"/>
        <w:numId w:val="23"/>
      </w:numPr>
      <w:outlineLvl w:val="5"/>
    </w:pPr>
    <w:rPr/>
  </w:style>
  <w:style w:type="paragraph" w:styleId="P50">
    <w:name w:val="Heading 9"/>
    <w:basedOn w:val="P46"/>
    <w:next w:val="P0"/>
    <w:link w:val="C18"/>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Comment Text Char"/>
    <w:link w:val="P2"/>
    <w:rPr>
      <w:rFonts w:ascii="Arial" w:hAnsi="Arial"/>
    </w:rPr>
  </w:style>
  <w:style w:type="character" w:styleId="C9">
    <w:name w:val="Comment Subject Char"/>
    <w:link w:val="P31"/>
    <w:rPr>
      <w:rFonts w:ascii="Book Antiqua" w:hAnsi="Book Antiqua"/>
      <w:b w:val="1"/>
      <w:sz w:val="20"/>
    </w:rPr>
  </w:style>
  <w:style w:type="character" w:styleId="C10">
    <w:name w:val="Plain Text Char"/>
    <w:link w:val="P23"/>
    <w:rPr>
      <w:rFonts w:ascii="Courier New" w:hAnsi="Courier New"/>
      <w:sz w:val="20"/>
    </w:rPr>
  </w:style>
  <w:style w:type="character" w:styleId="C11">
    <w:name w:val="Heading 1 Char"/>
    <w:link w:val="P35"/>
    <w:rPr>
      <w:rFonts w:ascii="Calibri" w:hAnsi="Calibri"/>
      <w:caps w:val="1"/>
    </w:rPr>
  </w:style>
  <w:style w:type="character" w:styleId="C12">
    <w:name w:val="Heading 2 Char"/>
    <w:link w:val="P36"/>
    <w:rPr>
      <w:rFonts w:ascii="Calibri" w:hAnsi="Calibri"/>
      <w:u w:val="single"/>
    </w:rPr>
  </w:style>
  <w:style w:type="character" w:styleId="C13">
    <w:name w:val="Heading 4 Char"/>
    <w:link w:val="P38"/>
    <w:rPr/>
  </w:style>
  <w:style w:type="character" w:styleId="C14">
    <w:name w:val="Heading 5 Char"/>
    <w:link w:val="P45"/>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tyle>
  <w:style w:type="character" w:styleId="C19">
    <w:name w:val="Title Char"/>
    <w:link w:val="P10"/>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2015-03-06T19:26:00Z</dcterms:created>
  <cp:lastModifiedBy>Ray</cp:lastModifiedBy>
  <cp:lastPrinted>2006-08-30T13:38:00Z</cp:lastPrinted>
  <dcterms:modified xsi:type="dcterms:W3CDTF">2022-10-04T19:39:04Z</dcterms:modified>
  <cp:revision>5</cp:revision>
  <dc:title>16412_Molded_Case_Circuit_Breakers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