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7CB0B6F" Type="http://schemas.openxmlformats.org/officeDocument/2006/relationships/officeDocument" Target="word/document.xml"/><Relationship Id="coreR77CB0B6F" Type="http://schemas.openxmlformats.org/package/2006/relationships/metadata/core-properties" Target="docProps/core.xml"/><Relationship Id="customR77CB0B6F"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changes from Legal</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3,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18,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July 29,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b w:val="1"/>
              </w:rPr>
            </w:pPr>
            <w:r>
              <w:rPr>
                <w:rFonts w:ascii="Calibri" w:hAnsi="Calibri"/>
                <w:b w:val="1"/>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November 17,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Reference eDOCS #5630488  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b w:val="1"/>
              </w:rPr>
            </w:pPr>
            <w:r>
              <w:rPr>
                <w:rFonts w:ascii="Calibri" w:hAnsi="Calibri"/>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rPr>
              <w:t>February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rPr>
              <w:t>Updated standards (C22.1-12)</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rPr>
                <w:rFonts w:ascii="Calibri" w:hAnsi="Calibri"/>
              </w:rPr>
            </w:pPr>
            <w:r>
              <w:rPr>
                <w:rFonts w:ascii="Calibri" w:hAnsi="Calibri"/>
              </w:rPr>
              <w:t>9</w:t>
            </w: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February 10, 2017</w:t>
            </w: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r>
              <w:rPr>
                <w:rFonts w:ascii="Calibri" w:hAnsi="Calibri"/>
              </w:rPr>
              <w:t xml:space="preserve">Removed the acceptable manufacturers section. (CPD PMO, OMM) Updated Reference Standards (C22.1-15, CSA-C22.2 No. 18.4-15    (AV &amp; AAM)</w:t>
            </w:r>
          </w:p>
        </w:tc>
      </w:tr>
    </w:tbl>
    <w:p>
      <w:pPr>
        <w:pStyle w:val="P4"/>
        <w:rPr>
          <w:rFonts w:ascii="Calibri" w:hAnsi="Calibri"/>
        </w:rPr>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pPr>
      <w:bookmarkEnd w:id="0"/>
      <w:bookmarkEnd w:id="1"/>
      <w:bookmarkEnd w:id="2"/>
      <w:r>
        <w:br w:type="page"/>
        <w:t>GEneral</w:t>
      </w:r>
    </w:p>
    <w:p>
      <w:pPr>
        <w:pStyle w:val="P34"/>
      </w:pPr>
      <w:r>
        <w:t>Related Sections</w:t>
      </w:r>
    </w:p>
    <w:p>
      <w:pPr>
        <w:pStyle w:val="P35"/>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5"/>
        <w:numPr>
          <w:ilvl w:val="2"/>
          <w:numId w:val="0"/>
        </w:numPr>
        <w:ind w:left="720"/>
        <w:rPr>
          <w:highlight w:val="lightGray"/>
        </w:rPr>
      </w:pPr>
    </w:p>
    <w:p>
      <w:pPr>
        <w:pStyle w:val="P35"/>
        <w:numPr>
          <w:ilvl w:val="2"/>
          <w:numId w:val="0"/>
        </w:numPr>
        <w:ind w:left="720"/>
        <w:rPr>
          <w:highlight w:val="lightGray"/>
        </w:rPr>
      </w:pPr>
      <w:r>
        <w:rPr>
          <w:highlight w:val="yellow"/>
        </w:rPr>
        <w:t>Cross-referencing here may also be used to coordinate assemblies or systems whose components may span multiple Sections and which must meet certain performance requirements as an assembly or system.</w:t>
      </w:r>
    </w:p>
    <w:p>
      <w:pPr>
        <w:pStyle w:val="P35"/>
        <w:numPr>
          <w:ilvl w:val="2"/>
          <w:numId w:val="0"/>
        </w:numPr>
        <w:ind w:left="720"/>
        <w:rPr>
          <w:highlight w:val="lightGray"/>
        </w:rPr>
      </w:pPr>
    </w:p>
    <w:p>
      <w:pPr>
        <w:pStyle w:val="P35"/>
        <w:numPr>
          <w:ilvl w:val="2"/>
          <w:numId w:val="0"/>
        </w:numPr>
        <w:ind w:left="720"/>
        <w:rPr>
          <w:highlight w:val="yellow"/>
        </w:rPr>
      </w:pPr>
      <w:r>
        <w:rPr>
          <w:highlight w:val="yellow"/>
        </w:rPr>
        <w:t>Contractor is responsible for coordination of the Work.</w:t>
      </w:r>
      <w:r>
        <w:t xml:space="preserve"> </w:t>
      </w:r>
      <w:r>
        <w:rPr>
          <w:highlight w:val="yellow"/>
        </w:rPr>
        <w:t>Contractor is responsible for being familiar with and incorporating all required elements of cross-referenced Specifications cited.</w:t>
      </w:r>
    </w:p>
    <w:p>
      <w:pPr>
        <w:pStyle w:val="P35"/>
        <w:numPr>
          <w:ilvl w:val="2"/>
          <w:numId w:val="0"/>
        </w:numPr>
        <w:ind w:left="720"/>
        <w:rPr>
          <w:highlight w:val="yellow"/>
        </w:rPr>
      </w:pPr>
    </w:p>
    <w:p>
      <w:pPr>
        <w:pStyle w:val="P35"/>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5"/>
        <w:numPr>
          <w:ilvl w:val="2"/>
          <w:numId w:val="0"/>
        </w:numPr>
        <w:ind w:left="720"/>
        <w:rPr>
          <w:highlight w:val="lightGray"/>
        </w:rPr>
      </w:pPr>
    </w:p>
    <w:p>
      <w:pPr>
        <w:pStyle w:val="P35"/>
        <w:numPr>
          <w:ilvl w:val="2"/>
          <w:numId w:val="0"/>
        </w:numPr>
        <w:ind w:left="720"/>
      </w:pPr>
      <w:r>
        <w:rPr>
          <w:highlight w:val="yellow"/>
        </w:rPr>
        <w:t>[List Sections specifying installation of products supplied but not installed under this Section and indicate specific items.]</w:t>
      </w:r>
    </w:p>
    <w:p>
      <w:pPr>
        <w:pStyle w:val="P35"/>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5"/>
        <w:numPr>
          <w:ilvl w:val="2"/>
          <w:numId w:val="0"/>
        </w:numPr>
        <w:ind w:left="720"/>
      </w:pPr>
      <w:r>
        <w:rPr>
          <w:highlight w:val="yellow"/>
        </w:rPr>
        <w:t>[List Sections specifying products installed but not supplied under this Section and indicate specific items.]</w:t>
      </w:r>
    </w:p>
    <w:p>
      <w:pPr>
        <w:pStyle w:val="P35"/>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5"/>
        <w:numPr>
          <w:ilvl w:val="2"/>
          <w:numId w:val="0"/>
        </w:numPr>
        <w:ind w:left="720"/>
      </w:pPr>
      <w:r>
        <w:rPr>
          <w:highlight w:val="yellow"/>
        </w:rPr>
        <w:t>[List Sections specifying related requirements.]</w:t>
      </w:r>
    </w:p>
    <w:p>
      <w:pPr>
        <w:pStyle w:val="P35"/>
        <w:numPr>
          <w:ilvl w:val="2"/>
          <w:numId w:val="0"/>
        </w:numPr>
        <w:ind w:left="720"/>
      </w:pPr>
      <w:r>
        <w:t xml:space="preserve">Section </w:t>
      </w:r>
      <w:r>
        <w:rPr>
          <w:highlight w:val="yellow"/>
        </w:rPr>
        <w:t>[______ – ____________]</w:t>
      </w:r>
      <w:r>
        <w:t xml:space="preserve">:  </w:t>
      </w:r>
      <w:r>
        <w:rPr>
          <w:highlight w:val="yellow"/>
        </w:rPr>
        <w:t>[Optional short phrase indicating relationship]</w:t>
      </w:r>
      <w:r>
        <w:t>.</w:t>
      </w:r>
    </w:p>
    <w:p>
      <w:pPr>
        <w:pStyle w:val="P35"/>
      </w:pPr>
      <w:r>
        <w:t>Sections:</w:t>
      </w:r>
    </w:p>
    <w:p>
      <w:pPr>
        <w:pStyle w:val="P35"/>
      </w:pPr>
      <w:r>
        <w:t>Section 01250 – Substitutions</w:t>
      </w:r>
    </w:p>
    <w:p>
      <w:pPr>
        <w:pStyle w:val="P35"/>
      </w:pPr>
      <w:r>
        <w:t>Section 01425 - Computerized Maintenance Management System Data Requirements</w:t>
      </w:r>
    </w:p>
    <w:p>
      <w:pPr>
        <w:pStyle w:val="P35"/>
      </w:pPr>
      <w:r>
        <w:t>Section 01810 – Equipment Testing and Facility Commissioning</w:t>
      </w:r>
    </w:p>
    <w:p>
      <w:pPr>
        <w:pStyle w:val="P35"/>
        <w:rPr>
          <w:highlight w:val="yellow"/>
        </w:rPr>
      </w:pPr>
      <w:r>
        <w:rPr>
          <w:highlight w:val="yellow"/>
        </w:rPr>
        <w:t>[Division 13 – SCADA and Instrumentation -insert applicable specifications]</w:t>
      </w:r>
    </w:p>
    <w:p>
      <w:pPr>
        <w:pStyle w:val="P35"/>
      </w:pPr>
      <w:r>
        <w:t xml:space="preserve">Section 16010 – Electrical General Requirements </w:t>
      </w:r>
    </w:p>
    <w:p>
      <w:pPr>
        <w:pStyle w:val="P35"/>
      </w:pPr>
      <w:r>
        <w:t xml:space="preserve">Product requirements for </w:t>
      </w:r>
      <w:r>
        <w:rPr>
          <w:highlight w:val="yellow"/>
        </w:rPr>
        <w:t>[item]...</w:t>
      </w:r>
      <w:r>
        <w:t xml:space="preserve">  for installation under this Section</w:t>
      </w:r>
    </w:p>
    <w:p>
      <w:pPr>
        <w:pStyle w:val="P34"/>
      </w:pPr>
      <w:r>
        <w:t>Measurement and Payment</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5"/>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5"/>
        <w:rPr>
          <w:highlight w:val="yellow"/>
        </w:rPr>
      </w:pPr>
      <w:r>
        <w:rPr>
          <w:highlight w:val="yellow"/>
        </w:rPr>
        <w:t>All costs associated with the work of this Section shall be included in the price(s) for Item No(s). ___ in the Bid Form.</w:t>
      </w:r>
    </w:p>
    <w:p>
      <w:pPr>
        <w:pStyle w:val="P25"/>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4"/>
      </w:pPr>
      <w:r>
        <w:t>References</w:t>
      </w:r>
    </w:p>
    <w:p>
      <w:pPr>
        <w:pStyle w:val="P4"/>
        <w:spacing w:after="0"/>
        <w:ind w:firstLine="576"/>
        <w:rPr>
          <w:rFonts w:ascii="Calibri" w:hAnsi="Calibri"/>
          <w:i w:val="1"/>
        </w:rPr>
      </w:pPr>
      <w:r>
        <w:rPr>
          <w:rFonts w:ascii="Calibri" w:hAnsi="Calibri"/>
          <w:i w:val="1"/>
          <w:highlight w:val="yellow"/>
        </w:rPr>
        <w:t>[Delete .1 if Section 01060 – Regulatory Requirements is included in Contract Documents.]</w:t>
      </w:r>
    </w:p>
    <w:p>
      <w:pPr>
        <w:pStyle w:val="P35"/>
      </w:pPr>
      <w:r>
        <w:t>Comply with the latest edition of the following statutes, codes, standards, and all amendments thereto:</w:t>
      </w:r>
    </w:p>
    <w:p>
      <w:pPr>
        <w:pStyle w:val="P36"/>
      </w:pPr>
      <w:r>
        <w:t>Canadian Electrical Safety Code (CESC), latest Ontario Edition.</w:t>
      </w:r>
    </w:p>
    <w:p>
      <w:pPr>
        <w:pStyle w:val="P36"/>
      </w:pPr>
      <w:r>
        <w:t xml:space="preserve">Canadian Standards Association (CSA), </w:t>
      </w:r>
    </w:p>
    <w:p>
      <w:pPr>
        <w:pStyle w:val="P37"/>
      </w:pPr>
      <w:r>
        <w:t>CSA C22.2 No. 45.1-07 (R2012), Electrical Rigid Metal Conduit - Steel (Tri-National standard, with UL 6 and NMX-J-534-ANCE-2007).</w:t>
      </w:r>
    </w:p>
    <w:p>
      <w:pPr>
        <w:pStyle w:val="P37"/>
      </w:pPr>
      <w:r>
        <w:t>CSA C22.1-15, Canadian Electrical Code, Part 1.</w:t>
      </w:r>
    </w:p>
    <w:p>
      <w:pPr>
        <w:pStyle w:val="P37"/>
      </w:pPr>
      <w:r>
        <w:t xml:space="preserve">CSA C22.2  No. 18.3-12, Conduit, tubing, and cable fittings (Tri-national standard, with ANCE NMX-J-017 and UL 514B).</w:t>
      </w:r>
    </w:p>
    <w:p>
      <w:pPr>
        <w:pStyle w:val="P37"/>
      </w:pPr>
      <w:r>
        <w:t>CSA-C22.2 No. 18.4-15 Hardware for the Support of Conduit, Tubing, and Cable (Bi-National standard, with UL 2239).</w:t>
      </w:r>
    </w:p>
    <w:p>
      <w:pPr>
        <w:pStyle w:val="P33"/>
      </w:pPr>
      <w:r>
        <w:t xml:space="preserve">PRODUCTS </w:t>
      </w:r>
    </w:p>
    <w:p>
      <w:pPr>
        <w:pStyle w:val="P34"/>
      </w:pPr>
      <w:r>
        <w:t>Outlet and Conduit Boxes General</w:t>
      </w:r>
    </w:p>
    <w:p>
      <w:pPr>
        <w:pStyle w:val="P35"/>
      </w:pPr>
      <w:r>
        <w:t>Size boxes in accordance with the code requirements of the CESC Ontario Edition and CSA C22.1-15, Canadian Electrical Code, Part 1.</w:t>
      </w:r>
    </w:p>
    <w:p>
      <w:pPr>
        <w:pStyle w:val="P35"/>
        <w:rPr>
          <w:highlight w:val="yellow"/>
        </w:rPr>
      </w:pPr>
      <w:r>
        <w:rPr>
          <w:highlight w:val="yellow"/>
        </w:rPr>
        <w:t>[All materials shall be CSA approved.]</w:t>
      </w:r>
    </w:p>
    <w:p>
      <w:pPr>
        <w:pStyle w:val="P35"/>
      </w:pPr>
      <w:r>
        <w:t xml:space="preserve">102 mm square or larger outlet boxes as required for special devices. </w:t>
      </w:r>
    </w:p>
    <w:p>
      <w:pPr>
        <w:pStyle w:val="P35"/>
      </w:pPr>
      <w:r>
        <w:t xml:space="preserve">Gang boxes where wiring devices are grouped. </w:t>
      </w:r>
    </w:p>
    <w:p>
      <w:pPr>
        <w:pStyle w:val="P35"/>
      </w:pPr>
      <w:r>
        <w:t xml:space="preserve">Blank cover plates for boxes without wiring devices. </w:t>
      </w:r>
    </w:p>
    <w:p>
      <w:pPr>
        <w:pStyle w:val="P35"/>
      </w:pPr>
      <w:r>
        <w:t xml:space="preserve">347 V outlet boxes for 347 V switching devices. </w:t>
      </w:r>
    </w:p>
    <w:p>
      <w:pPr>
        <w:pStyle w:val="P35"/>
      </w:pPr>
      <w:r>
        <w:t>Combination boxes with barriers where outlets for more than one system are grouped.</w:t>
      </w:r>
    </w:p>
    <w:p>
      <w:pPr>
        <w:pStyle w:val="P35"/>
      </w:pPr>
      <w:r>
        <w:t xml:space="preserve">All boxes used with exposed conduits shall be rigid PVC. </w:t>
      </w:r>
    </w:p>
    <w:p>
      <w:pPr>
        <w:pStyle w:val="P35"/>
      </w:pPr>
      <w:r>
        <w:t>Each light, switch, receptacle and/or outlet shall be provided with a suitable outlet box, each approved for the particular area in which it is to be installed.</w:t>
      </w:r>
    </w:p>
    <w:p>
      <w:pPr>
        <w:pStyle w:val="P35"/>
      </w:pPr>
      <w:r>
        <w:t xml:space="preserve">One outlet box shall be installed per switch, receptacle, light, etc. </w:t>
      </w:r>
    </w:p>
    <w:p>
      <w:pPr>
        <w:pStyle w:val="P34"/>
      </w:pPr>
      <w:r>
        <w:t>Sheet Steel Outlet Boxes</w:t>
      </w:r>
    </w:p>
    <w:p>
      <w:pPr>
        <w:pStyle w:val="P35"/>
      </w:pPr>
      <w:r>
        <w:t xml:space="preserve">Electro-galvanized steel single and multi gang flush device boxes for flush installation, minimum size 76 mm x 50 mm x 38 mm or as otherwise indicated in the Contract Documents. Use 102 mm square outlet boxes when more than one conduit enters one side with extension and plaster rings as required in the Contract. </w:t>
      </w:r>
    </w:p>
    <w:p>
      <w:pPr>
        <w:pStyle w:val="P35"/>
      </w:pPr>
      <w:r>
        <w:t xml:space="preserve">Electro-galvanized steel utility boxes for outlets connected to surface-mounted EMT conduit, minimum size 102 mm x 54 mm x 48 mm </w:t>
      </w:r>
    </w:p>
    <w:p>
      <w:pPr>
        <w:pStyle w:val="P35"/>
      </w:pPr>
      <w:r>
        <w:t xml:space="preserve">102 mm square or octagonal outlet boxes for lighting fixture outlets. </w:t>
      </w:r>
    </w:p>
    <w:p>
      <w:pPr>
        <w:pStyle w:val="P35"/>
      </w:pPr>
      <w:r>
        <w:t xml:space="preserve">102 mm square outlet boxes with extension and plaster rings for flush mounting devices in finished walls. </w:t>
      </w:r>
    </w:p>
    <w:p>
      <w:pPr>
        <w:pStyle w:val="P34"/>
      </w:pPr>
      <w:r>
        <w:t>Masonry Boxes</w:t>
      </w:r>
    </w:p>
    <w:p>
      <w:pPr>
        <w:pStyle w:val="P35"/>
      </w:pPr>
      <w:r>
        <w:t xml:space="preserve">Electro-galvanized steel masonry single and multi gang boxes for devices flush mounted in exposed block walls. </w:t>
      </w:r>
    </w:p>
    <w:p>
      <w:pPr>
        <w:pStyle w:val="P34"/>
      </w:pPr>
      <w:r>
        <w:t>Concrete Boxes</w:t>
      </w:r>
    </w:p>
    <w:p>
      <w:pPr>
        <w:pStyle w:val="P35"/>
      </w:pPr>
      <w:r>
        <w:t xml:space="preserve">Electro-galvanized sheet steel concrete type boxes for flush mounting in concrete with matching extension and plaster rings as required. </w:t>
      </w:r>
    </w:p>
    <w:p>
      <w:pPr>
        <w:pStyle w:val="P34"/>
      </w:pPr>
      <w:r>
        <w:t>Conduit Boxes</w:t>
      </w:r>
    </w:p>
    <w:p>
      <w:pPr>
        <w:pStyle w:val="P35"/>
      </w:pPr>
      <w:r>
        <w:t xml:space="preserve">Cast FS boxes with factory-threaded hubs and mounting feet for surface wiring of switches and receptacles. </w:t>
      </w:r>
    </w:p>
    <w:p>
      <w:pPr>
        <w:pStyle w:val="P34"/>
      </w:pPr>
      <w:r>
        <w:t>Outlet Boxes for Non-metallic Sheathed Cable</w:t>
      </w:r>
    </w:p>
    <w:p>
      <w:pPr>
        <w:pStyle w:val="P35"/>
      </w:pPr>
      <w:r>
        <w:t xml:space="preserve">Electro-galvanized, sectional, screw ganging steel boxes, with a minimum size of </w:t>
      </w:r>
      <w:r>
        <w:rPr>
          <w:highlight w:val="yellow"/>
        </w:rPr>
        <w:t>[76 mm x 50 mm x 63 mm]</w:t>
      </w:r>
      <w:r>
        <w:t xml:space="preserve"> with two double clamps to take non-metallic sheathed cables </w:t>
      </w:r>
    </w:p>
    <w:p>
      <w:pPr>
        <w:pStyle w:val="P34"/>
      </w:pPr>
      <w:r>
        <w:t xml:space="preserve">Fittings- General </w:t>
      </w:r>
    </w:p>
    <w:p>
      <w:pPr>
        <w:pStyle w:val="P35"/>
      </w:pPr>
      <w:r>
        <w:t xml:space="preserve">Bushing and connectors with nylon insulated throats. </w:t>
      </w:r>
    </w:p>
    <w:p>
      <w:pPr>
        <w:pStyle w:val="P35"/>
      </w:pPr>
      <w:r>
        <w:t xml:space="preserve">Knock-out fillers to prevent entry of debris. </w:t>
      </w:r>
    </w:p>
    <w:p>
      <w:pPr>
        <w:pStyle w:val="P35"/>
      </w:pPr>
      <w:r>
        <w:t xml:space="preserve">Conduit outlet bodies for conduit up to 32 m and pull boxes for larger conduits. </w:t>
      </w:r>
    </w:p>
    <w:p>
      <w:pPr>
        <w:pStyle w:val="P35"/>
      </w:pPr>
      <w:r>
        <w:t>Double locknuts and insulated bushings on sheet metal boxes.</w:t>
      </w:r>
    </w:p>
    <w:p>
      <w:pPr>
        <w:pStyle w:val="P34"/>
      </w:pPr>
      <w:r>
        <w:t xml:space="preserve">Service Fittings </w:t>
      </w:r>
    </w:p>
    <w:p>
      <w:pPr>
        <w:pStyle w:val="P35"/>
      </w:pPr>
      <w:r>
        <w:t xml:space="preserve">'High tension' receptacle fitting made of two-piece stainless steel housing finish for single receptacle(s).  Bottom plate with two knockouts for centered or offset installation.  The extension piece shall be 12 mm x 102 mm as indicated in the Contract Documents. </w:t>
      </w:r>
    </w:p>
    <w:p>
      <w:pPr>
        <w:pStyle w:val="P35"/>
      </w:pPr>
      <w:r>
        <w:t xml:space="preserve">Pedestal type 'low tension' fitting made of two-piece </w:t>
      </w:r>
      <w:r>
        <w:rPr>
          <w:highlight w:val="yellow"/>
        </w:rPr>
        <w:t>[stainless steel] [die cast aluminum] with [brushed aluminum] [satin aluminum]</w:t>
      </w:r>
      <w:r>
        <w:t xml:space="preserve"> housing finish to accommodate </w:t>
      </w:r>
      <w:r>
        <w:rPr>
          <w:highlight w:val="yellow"/>
        </w:rPr>
        <w:t>[one] [two]</w:t>
      </w:r>
      <w:r>
        <w:t xml:space="preserve"> amphenol jack connectors.</w:t>
      </w:r>
    </w:p>
    <w:p>
      <w:pPr>
        <w:pStyle w:val="P33"/>
      </w:pPr>
      <w:r>
        <w:t xml:space="preserve">EXECUTION </w:t>
      </w:r>
    </w:p>
    <w:p>
      <w:pPr>
        <w:pStyle w:val="P34"/>
      </w:pPr>
      <w:r>
        <w:t>Installation</w:t>
      </w:r>
    </w:p>
    <w:p>
      <w:pPr>
        <w:pStyle w:val="P35"/>
      </w:pPr>
      <w:r>
        <w:t>Installations shall be in accordance with C22.2 No. 18.3-12, Conduit, tubing, and cable fittings (Tri-national standard, with ANCE NMX-J-017 and UL 514B).</w:t>
      </w:r>
    </w:p>
    <w:p>
      <w:pPr>
        <w:pStyle w:val="P35"/>
      </w:pPr>
      <w:r>
        <w:t>Installations shall be in accordance with C22.2 No. 45.1-07 (R2012), Electrical Rigid Metal Conduit - Steel (Tri-National standard, with UL 6 and NMX-J-534-ANCE-2007).</w:t>
      </w:r>
    </w:p>
    <w:p>
      <w:pPr>
        <w:pStyle w:val="P35"/>
      </w:pPr>
      <w:r>
        <w:t>Installations shall be in accordance with CAN/CSA-C22.2 No. 18.4-15, Hardware for the Support of Conduit, Tubing, and Cable (Bi-National standard, with UL 2239).</w:t>
      </w:r>
    </w:p>
    <w:p>
      <w:pPr>
        <w:pStyle w:val="P35"/>
      </w:pPr>
      <w:r>
        <w:t xml:space="preserve">Support boxes independently of connecting conduits. </w:t>
      </w:r>
    </w:p>
    <w:p>
      <w:pPr>
        <w:pStyle w:val="P35"/>
      </w:pPr>
      <w:r>
        <w:t xml:space="preserve">Fill boxes with paper, sponges or foam or similar approved material to prevent the entry of debris during construction.  Remove upon the completion of the Work. </w:t>
      </w:r>
    </w:p>
    <w:p>
      <w:pPr>
        <w:pStyle w:val="P35"/>
      </w:pPr>
      <w:r>
        <w:t xml:space="preserve">For flush installations, mount outlets flush with the finished wall using plaster rings to permit the wall finish to come within 6 mm of the opening. </w:t>
      </w:r>
    </w:p>
    <w:p>
      <w:pPr>
        <w:pStyle w:val="P35"/>
      </w:pPr>
      <w:r>
        <w:t xml:space="preserve">Provide the correct size of openings in boxes for conduit armoured cable connections.  Reducing washers shall not be allowed.</w:t>
      </w:r>
    </w:p>
    <w:p>
      <w:pPr>
        <w:pStyle w:val="P35"/>
      </w:pPr>
      <w:r>
        <w:t>Vacuum clean interior of outlet boxes before the installation of wiring devices.</w:t>
      </w:r>
    </w:p>
    <w:p>
      <w:pPr>
        <w:pStyle w:val="P35"/>
      </w:pPr>
      <w:r>
        <w:t xml:space="preserve">Identify systems for outlet boxes as required. </w:t>
      </w:r>
    </w:p>
    <w:p>
      <w:pPr>
        <w:pStyle w:val="P34"/>
        <w:numPr>
          <w:ilvl w:val="1"/>
          <w:numId w:val="14"/>
        </w:numPr>
      </w:pPr>
      <w:r>
        <w:t>Commissioning</w:t>
      </w:r>
    </w:p>
    <w:p>
      <w:pPr>
        <w:pStyle w:val="P35"/>
      </w:pPr>
      <w:r>
        <w:t xml:space="preserve">For all commissioning activities on systems where components of this Specification are integral to functionality, refer to </w:t>
      </w:r>
      <w:r>
        <w:rPr>
          <w:highlight w:val="yellow"/>
        </w:rPr>
        <w:t>Section 01810 – Equipment Testing and Facility Commissioning</w:t>
      </w:r>
      <w:r>
        <w:t>. All inspection and testing activities shall be completed in accordance with the documentation required as part of the commissioning plan that shall be provided to the Consultant prior to start of commissioning activities.</w:t>
      </w:r>
    </w:p>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79"/>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16132</w:t>
    </w:r>
  </w:p>
  <w:p>
    <w:pPr>
      <w:pBdr>
        <w:top w:val="single" w:sz="4" w:space="0" w:shadow="0" w:frame="0"/>
      </w:pBd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10350" w:leader="none"/>
      </w:tabs>
      <w:ind w:firstLine="4320"/>
      <w:rPr>
        <w:rFonts w:ascii="Arial" w:hAnsi="Arial"/>
      </w:rPr>
    </w:pPr>
    <w:r>
      <w:rPr>
        <w:rFonts w:ascii="Arial" w:hAnsi="Arial"/>
        <w:b w:val="1"/>
      </w:rPr>
      <w:t>OUTLET BOXES, CONDUIT BOXES</w:t>
    </w:r>
    <w:r>
      <w:rPr>
        <w:rFonts w:ascii="Arial" w:hAnsi="Arial"/>
      </w:rPr>
      <w:tab/>
      <w:t>2013-06-18</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 xml:space="preserve">                                </w:t>
    </w:r>
    <w:r>
      <w:rPr>
        <w:rFonts w:ascii="Arial" w:hAnsi="Arial"/>
        <w:b w:val="1"/>
      </w:rPr>
      <w:t>AND FITTINGS</w:t>
    </w:r>
    <w:r>
      <w:rPr>
        <w:rFonts w:ascii="Arial" w:hAnsi="Arial"/>
      </w:rPr>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Narrow" w:hAnsi="Arial Narrow"/>
        <w:caps w:val="1"/>
        <w:sz w:val="22"/>
      </w:rPr>
      <w:instrText xml:space="preserve"> NUMPAGES </w:instrText>
    </w:r>
    <w:r>
      <w:rPr>
        <w:rStyle w:val="C5"/>
        <w:rFonts w:ascii="Arial" w:hAnsi="Arial"/>
      </w:rPr>
      <w:fldChar w:fldCharType="separate"/>
    </w:r>
    <w:r>
      <w:rPr>
        <w:rStyle w:val="C5"/>
        <w:rFonts w:ascii="Arial Narrow" w:hAnsi="Arial Narrow"/>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left" w:pos="0" w:leader="none"/>
        <w:tab w:val="center" w:pos="5040" w:leader="none"/>
        <w:tab w:val="right" w:pos="9810" w:leader="none"/>
      </w:tabs>
      <w:rPr>
        <w:rFonts w:ascii="Calibri" w:hAnsi="Calibri"/>
      </w:rPr>
    </w:pPr>
    <w:r>
      <w:rPr>
        <w:rFonts w:ascii="Calibri (Body)" w:hAnsi="Calibri (Body)"/>
        <w:sz w:val="22"/>
      </w:rPr>
      <w:t>CONTRACT NO. SSTR4559</w:t>
      <w:tab/>
      <w:tab/>
      <w:t xml:space="preserve">          Section 16132</w:t>
      <w:tab/>
      <w:t xml:space="preserve"> OUTLET BOXES, CONDUIT BOXES AND FITTINGS</w:t>
      <w:tab/>
      <w:t xml:space="preserve"> 2017-02-10</w:t>
    </w:r>
  </w:p>
  <w:p>
    <w:pPr>
      <w:pBdr>
        <w:top w:val="single" w:sz="4" w:space="0" w:shadow="0" w:frame="0"/>
      </w:pBdr>
      <w:tabs>
        <w:tab w:val="left" w:pos="0" w:leader="none"/>
        <w:tab w:val="center" w:pos="5040" w:leader="none"/>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Bdr>
        <w:top w:val="single" w:sz="4" w:space="0" w:shadow="0" w:frame="0"/>
      </w:pBdr>
      <w:tabs>
        <w:tab w:val="center" w:pos="5175"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Section 16132</w:t>
      <w:tab/>
      <w:t>CONTRACT NO. SSTR4559</w:t>
    </w:r>
  </w:p>
  <w:p>
    <w:pPr>
      <w:pBdr>
        <w:top w:val="single" w:sz="4" w:space="0" w:shadow="0" w:frame="0"/>
      </w:pBdr>
      <w:rPr>
        <w:rFonts w:ascii="Calibri" w:hAnsi="Calibri"/>
      </w:rPr>
    </w:pPr>
    <w:r>
      <w:rPr>
        <w:rFonts w:ascii="Calibri (Body)" w:hAnsi="Calibri (Body)"/>
        <w:sz w:val="22"/>
      </w:rPr>
      <w:t>2017-02-10</w:t>
      <w:tab/>
      <w:tab/>
      <w:tab/>
    </w:r>
    <w:r>
      <w:rPr>
        <w:rFonts w:ascii="Calibri (Body)" w:hAnsi="Calibri (Body)"/>
        <w:b w:val="1"/>
        <w:sz w:val="22"/>
      </w:rPr>
      <w:t>OUTLET BOXES, CONDUIT BOXES</w:t>
    </w:r>
    <w:r>
      <w:rPr>
        <w:rFonts w:ascii="Calibri (Body)" w:hAnsi="Calibri (Body)"/>
        <w:b w:val="1"/>
        <w:sz w:val="22"/>
      </w:rPr>
      <w:t xml:space="preserve"> </w:t>
    </w:r>
    <w:r>
      <w:rPr>
        <w:rFonts w:ascii="Calibri (Body)" w:hAnsi="Calibri (Body)"/>
        <w:b w:val="1"/>
        <w:sz w:val="22"/>
      </w:rPr>
      <w:t>AND FITTINGS</w:t>
    </w:r>
    <w:r>
      <w:rPr>
        <w:rFonts w:ascii="Calibri (Body)" w:hAnsi="Calibri (Body)"/>
        <w:sz w:val="22"/>
      </w:rPr>
      <w:tab/>
    </w:r>
  </w:p>
  <w:p>
    <w:pPr>
      <w:pBdr>
        <w:top w:val="single" w:sz="4" w:space="0" w:shadow="0" w:frame="0"/>
      </w:pBdr>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0"/>
      <w:jc w:val="left"/>
    </w:pPr>
  </w:p>
</w:hdr>
</file>

<file path=word/numbering.xml><?xml version="1.0" encoding="utf-8"?>
<w:numbering xmlns:w="http://schemas.openxmlformats.org/wordprocessingml/2006/main">
  <w:abstractNum w:abstractNumId="0">
    <w:nsid w:val="FFFFFF89"/>
    <w:multiLevelType w:val="hybridMultilevel"/>
    <w:lvl w:ilvl="0" w:tplc="29235F6D">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8"/>
  </w:num>
  <w:num w:numId="10">
    <w:abstractNumId w:val="4"/>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link w:val="C9"/>
    <w:pPr>
      <w:spacing w:after="160"/>
    </w:pPr>
    <w:rPr>
      <w:rFonts w:ascii="Book Antiqua" w:hAnsi="Book Antiqua"/>
      <w:sz w:val="22"/>
    </w:rPr>
  </w:style>
  <w:style w:type="paragraph" w:styleId="P5">
    <w:name w:val="Comment Text"/>
    <w:basedOn w:val="P0"/>
    <w:next w:val="P5"/>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alloon Text"/>
    <w:basedOn w:val="P0"/>
    <w:next w:val="P23"/>
    <w:pPr/>
    <w:rPr>
      <w:rFonts w:ascii="Tahoma" w:hAnsi="Tahoma"/>
      <w:sz w:val="16"/>
    </w:rPr>
  </w:style>
  <w:style w:type="paragraph" w:styleId="P24">
    <w:name w:val="EndOfSection"/>
    <w:basedOn w:val="P0"/>
    <w:next w:val="P24"/>
    <w:pPr>
      <w:spacing w:before="600"/>
      <w:jc w:val="center"/>
    </w:pPr>
    <w:rPr>
      <w:rFonts w:ascii="Times New Roman" w:hAnsi="Times New Roman"/>
      <w:b w:val="1"/>
    </w:rPr>
  </w:style>
  <w:style w:type="paragraph" w:styleId="P25">
    <w:name w:val="Plain Text"/>
    <w:basedOn w:val="P0"/>
    <w:next w:val="P25"/>
    <w:link w:val="C10"/>
    <w:pPr/>
    <w:rPr>
      <w:rFonts w:ascii="Courier New" w:hAnsi="Courier New"/>
      <w:sz w:val="20"/>
    </w:rPr>
  </w:style>
  <w:style w:type="paragraph" w:styleId="P26">
    <w:name w:val="Bullet"/>
    <w:basedOn w:val="P4"/>
    <w:next w:val="P4"/>
    <w:pPr/>
    <w:rPr/>
  </w:style>
  <w:style w:type="paragraph" w:styleId="P27">
    <w:name w:val="CSA"/>
    <w:basedOn w:val="P4"/>
    <w:next w:val="P33"/>
    <w:pPr>
      <w:keepNext w:val="1"/>
      <w:spacing w:after="0"/>
    </w:pPr>
    <w:rPr>
      <w:b w:val="1"/>
      <w:caps w:val="1"/>
      <w:sz w:val="20"/>
    </w:rPr>
  </w:style>
  <w:style w:type="paragraph" w:styleId="P28">
    <w:name w:val="Footnote Text"/>
    <w:basedOn w:val="P4"/>
    <w:next w:val="P28"/>
    <w:pPr>
      <w:spacing w:after="0"/>
    </w:pPr>
    <w:rPr>
      <w:rFonts w:ascii="Arial" w:hAnsi="Arial"/>
      <w:sz w:val="16"/>
    </w:rPr>
  </w:style>
  <w:style w:type="paragraph" w:styleId="P29">
    <w:name w:val="Number"/>
    <w:basedOn w:val="P4"/>
    <w:next w:val="P4"/>
    <w:pPr>
      <w:spacing w:after="0"/>
      <w:ind w:hanging="360" w:left="360"/>
    </w:pPr>
    <w:rPr/>
  </w:style>
  <w:style w:type="paragraph" w:styleId="P30">
    <w:name w:val="Tick"/>
    <w:basedOn w:val="P4"/>
    <w:next w:val="P4"/>
    <w:pPr>
      <w:spacing w:after="0"/>
      <w:ind w:hanging="360" w:left="720"/>
    </w:pPr>
    <w:rPr/>
  </w:style>
  <w:style w:type="paragraph" w:styleId="P31">
    <w:name w:val="TOC 1"/>
    <w:basedOn w:val="P4"/>
    <w:next w:val="P44"/>
    <w:pPr>
      <w:tabs>
        <w:tab w:val="right" w:pos="8640" w:leader="dot"/>
      </w:tabs>
      <w:spacing w:after="0"/>
    </w:pPr>
    <w:rPr>
      <w:b w:val="1"/>
    </w:rPr>
  </w:style>
  <w:style w:type="paragraph" w:styleId="P32">
    <w:name w:val="Comment Subject"/>
    <w:basedOn w:val="P5"/>
    <w:next w:val="P5"/>
    <w:pPr>
      <w:spacing w:before="0"/>
    </w:pPr>
    <w:rPr>
      <w:rFonts w:ascii="Book Antiqua" w:hAnsi="Book Antiqua"/>
      <w:b w:val="1"/>
      <w:sz w:val="20"/>
    </w:rPr>
  </w:style>
  <w:style w:type="paragraph" w:styleId="P33">
    <w:name w:val="Heading 1"/>
    <w:basedOn w:val="P7"/>
    <w:next w:val="P4"/>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4">
    <w:name w:val="Heading 2"/>
    <w:basedOn w:val="P7"/>
    <w:next w:val="P4"/>
    <w:link w:val="C8"/>
    <w:qFormat/>
    <w:pPr>
      <w:keepNext w:val="1"/>
      <w:keepLines w:val="1"/>
      <w:numPr>
        <w:ilvl w:val="1"/>
        <w:numId w:val="3"/>
      </w:numPr>
      <w:tabs>
        <w:tab w:val="clear" w:pos="576" w:leader="none"/>
        <w:tab w:val="left" w:pos="720" w:leader="none"/>
      </w:tabs>
      <w:spacing w:before="80"/>
      <w:ind w:left="720"/>
      <w:outlineLvl w:val="1"/>
    </w:pPr>
    <w:rPr>
      <w:rFonts w:ascii="Calibri" w:hAnsi="Calibri"/>
      <w:b w:val="0"/>
      <w:u w:val="single"/>
    </w:rPr>
  </w:style>
  <w:style w:type="paragraph" w:styleId="P35">
    <w:name w:val="Heading 3"/>
    <w:basedOn w:val="P7"/>
    <w:next w:val="P35"/>
    <w:link w:val="C7"/>
    <w:qFormat/>
    <w:pPr>
      <w:numPr>
        <w:ilvl w:val="2"/>
        <w:numId w:val="3"/>
      </w:numPr>
      <w:tabs>
        <w:tab w:val="clear" w:pos="720" w:leader="none"/>
        <w:tab w:val="left" w:pos="1440" w:leader="none"/>
      </w:tabs>
      <w:ind w:hanging="720" w:left="1440"/>
      <w:outlineLvl w:val="2"/>
    </w:pPr>
    <w:rPr>
      <w:rFonts w:ascii="Calibri" w:hAnsi="Calibri"/>
      <w:b w:val="0"/>
    </w:rPr>
  </w:style>
  <w:style w:type="paragraph" w:styleId="P36">
    <w:name w:val="Heading 4"/>
    <w:basedOn w:val="P7"/>
    <w:next w:val="P36"/>
    <w:qFormat/>
    <w:pPr>
      <w:numPr>
        <w:ilvl w:val="3"/>
        <w:numId w:val="3"/>
      </w:numPr>
      <w:tabs>
        <w:tab w:val="left" w:pos="504" w:leader="none"/>
        <w:tab w:val="clear" w:pos="864" w:leader="none"/>
        <w:tab w:val="left" w:pos="2160" w:leader="none"/>
      </w:tabs>
      <w:ind w:hanging="720" w:left="2160"/>
      <w:outlineLvl w:val="3"/>
    </w:pPr>
    <w:rPr>
      <w:rFonts w:ascii="Calibri" w:hAnsi="Calibri"/>
      <w:b w:val="0"/>
    </w:rPr>
  </w:style>
  <w:style w:type="paragraph" w:styleId="P37">
    <w:name w:val="Heading 5"/>
    <w:basedOn w:val="P7"/>
    <w:next w:val="P37"/>
    <w:qFormat/>
    <w:pPr>
      <w:numPr>
        <w:ilvl w:val="4"/>
        <w:numId w:val="3"/>
      </w:numPr>
      <w:tabs>
        <w:tab w:val="clear" w:pos="720" w:leader="none"/>
      </w:tabs>
      <w:ind w:hanging="720" w:left="2880"/>
      <w:outlineLvl w:val="4"/>
    </w:pPr>
    <w:rPr>
      <w:rFonts w:ascii="Calibri" w:hAnsi="Calibri"/>
      <w:b w:val="0"/>
    </w:rPr>
  </w:style>
  <w:style w:type="paragraph" w:styleId="P38">
    <w:name w:val="Heading 6"/>
    <w:basedOn w:val="P7"/>
    <w:next w:val="P4"/>
    <w:qFormat/>
    <w:pPr>
      <w:numPr>
        <w:ilvl w:val="5"/>
        <w:numId w:val="3"/>
      </w:numPr>
      <w:outlineLvl w:val="5"/>
    </w:pPr>
    <w:rPr>
      <w:i w:val="1"/>
      <w:sz w:val="24"/>
    </w:rPr>
  </w:style>
  <w:style w:type="paragraph" w:styleId="P39">
    <w:name w:val="Caption"/>
    <w:basedOn w:val="P7"/>
    <w:next w:val="P0"/>
    <w:qFormat/>
    <w:pPr>
      <w:keepNext w:val="1"/>
      <w:spacing w:after="240"/>
    </w:pPr>
    <w:rPr>
      <w:b w:val="0"/>
      <w:i w:val="1"/>
      <w:sz w:val="20"/>
    </w:rPr>
  </w:style>
  <w:style w:type="paragraph" w:styleId="P40">
    <w:name w:val="Exhibit--Number"/>
    <w:basedOn w:val="P7"/>
    <w:next w:val="P46"/>
    <w:pPr>
      <w:spacing w:before="160"/>
    </w:pPr>
    <w:rPr>
      <w:caps w:val="1"/>
      <w:sz w:val="18"/>
    </w:rPr>
  </w:style>
  <w:style w:type="paragraph" w:styleId="P41">
    <w:name w:val="Title"/>
    <w:basedOn w:val="P7"/>
    <w:next w:val="P41"/>
    <w:qFormat/>
    <w:pPr>
      <w:keepNext w:val="1"/>
      <w:spacing w:before="160" w:after="30"/>
    </w:pPr>
    <w:rPr>
      <w:sz w:val="20"/>
    </w:rPr>
  </w:style>
  <w:style w:type="paragraph" w:styleId="P42">
    <w:name w:val="Table Body"/>
    <w:basedOn w:val="P12"/>
    <w:next w:val="P42"/>
    <w:pPr>
      <w:jc w:val="left"/>
    </w:pPr>
    <w:rPr>
      <w:b w:val="0"/>
    </w:rPr>
  </w:style>
  <w:style w:type="paragraph" w:styleId="P43">
    <w:name w:val="List Bullet"/>
    <w:basedOn w:val="P26"/>
    <w:next w:val="P43"/>
    <w:pPr>
      <w:numPr>
        <w:numId w:val="2"/>
      </w:numPr>
    </w:pPr>
    <w:rPr/>
  </w:style>
  <w:style w:type="paragraph" w:styleId="P44">
    <w:name w:val="TOC 2"/>
    <w:basedOn w:val="P31"/>
    <w:next w:val="P48"/>
    <w:pPr>
      <w:tabs>
        <w:tab w:val="left" w:pos="1008" w:leader="none"/>
      </w:tabs>
      <w:ind w:left="720"/>
    </w:pPr>
    <w:rPr>
      <w:b w:val="0"/>
    </w:rPr>
  </w:style>
  <w:style w:type="paragraph" w:styleId="P45">
    <w:name w:val="Contents"/>
    <w:basedOn w:val="P33"/>
    <w:next w:val="P4"/>
    <w:pPr/>
    <w:rPr/>
  </w:style>
  <w:style w:type="paragraph" w:styleId="P46">
    <w:name w:val="Exhibit--Title"/>
    <w:basedOn w:val="P40"/>
    <w:next w:val="P49"/>
    <w:pPr>
      <w:spacing w:before="0"/>
    </w:pPr>
    <w:rPr>
      <w:b w:val="1"/>
      <w:caps w:val="0"/>
      <w:sz w:val="20"/>
    </w:rPr>
  </w:style>
  <w:style w:type="paragraph" w:styleId="P47">
    <w:name w:val="Table Notes"/>
    <w:basedOn w:val="P42"/>
    <w:next w:val="P47"/>
    <w:pPr>
      <w:spacing w:after="320"/>
    </w:pPr>
    <w:rPr/>
  </w:style>
  <w:style w:type="paragraph" w:styleId="P48">
    <w:name w:val="TOC 3"/>
    <w:basedOn w:val="P44"/>
    <w:next w:val="P48"/>
    <w:pPr>
      <w:tabs>
        <w:tab w:val="clear" w:pos="1008" w:leader="none"/>
        <w:tab w:val="left" w:pos="1728" w:leader="none"/>
      </w:tabs>
      <w:ind w:left="1440"/>
    </w:pPr>
    <w:rPr/>
  </w:style>
  <w:style w:type="paragraph" w:styleId="P49">
    <w:name w:val="Exhibit--Caption"/>
    <w:basedOn w:val="P46"/>
    <w:next w:val="P4"/>
    <w:pPr/>
    <w:rPr>
      <w:i w:val="1"/>
    </w:rPr>
  </w:style>
  <w:style w:type="paragraph" w:styleId="P50">
    <w:name w:val="TOC 4"/>
    <w:basedOn w:val="P48"/>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5"/>
    <w:rPr>
      <w:rFonts w:ascii="Calibri" w:hAnsi="Calibri"/>
      <w:b w:val="0"/>
    </w:rPr>
  </w:style>
  <w:style w:type="character" w:styleId="C8">
    <w:name w:val="Heading 2 Char"/>
    <w:link w:val="P34"/>
    <w:rPr>
      <w:rFonts w:ascii="Calibri" w:hAnsi="Calibri"/>
      <w:b w:val="0"/>
      <w:u w:val="single"/>
    </w:rPr>
  </w:style>
  <w:style w:type="character" w:styleId="C9">
    <w:name w:val="Body Text Char"/>
    <w:link w:val="P4"/>
    <w:rPr>
      <w:rFonts w:ascii="Book Antiqua" w:hAnsi="Book Antiqua"/>
      <w:sz w:val="22"/>
    </w:rPr>
  </w:style>
  <w:style w:type="character" w:styleId="C10">
    <w:name w:val="Plain Text Char"/>
    <w:link w:val="P25"/>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2017-02-10T19:48:00Z</dcterms:created>
  <cp:lastModifiedBy>Ray</cp:lastModifiedBy>
  <cp:lastPrinted>2006-08-30T11:48:00Z</cp:lastPrinted>
  <dcterms:modified xsi:type="dcterms:W3CDTF">2022-10-04T19:39:03Z</dcterms:modified>
  <cp:revision>4</cp:revision>
  <dc:title>16132_Outlet_Boxes__Conduit_Boxes_and_Fittings (Feb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2017-02-10T00:00:00Z</vt:lpwstr>
  </property>
  <property fmtid="{D5CDD505-2E9C-101B-9397-08002B2CF9AE}" pid="4" name="_dlc_DocId">
    <vt:lpwstr>77777-20-2572</vt:lpwstr>
  </property>
  <property fmtid="{D5CDD505-2E9C-101B-9397-08002B2CF9AE}" pid="5" name="_dlc_DocIdItemGuid">
    <vt:lpwstr>1eff2a68-3568-425e-b642-8f98e1adbcd1</vt:lpwstr>
  </property>
  <property fmtid="{D5CDD505-2E9C-101B-9397-08002B2CF9AE}" pid="6" name="_dlc_DocIdUrl">
    <vt:lpwstr>https://mycloud.york.ca/collab/CPDToolKit/_layouts/DocIdRedir.aspx?ID=77777-20-2572, 77777-20-2572</vt:lpwstr>
  </property>
  <property fmtid="{D5CDD505-2E9C-101B-9397-08002B2CF9AE}" pid="7" name="ContentTypeId">
    <vt:lpwstr>0x0101001E76F5F51B06864FADA04BB3B6DF741B</vt:lpwstr>
  </property>
  <property fmtid="{D5CDD505-2E9C-101B-9397-08002B2CF9AE}" pid="8" name="Document Type">
    <vt:lpwstr>Technical Design Specification Templates</vt:lpwstr>
  </property>
</Properties>
</file>