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2C1283" Type="http://schemas.openxmlformats.org/officeDocument/2006/relationships/officeDocument" Target="word/document.xml"/><Relationship Id="coreR22C1283" Type="http://schemas.openxmlformats.org/package/2006/relationships/metadata/core-properties" Target="docProps/core.xml"/><Relationship Id="customR22C128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Specification cross references.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#5630490  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(CSA C22.2 No. 111-10, fourth edition , UL 20, thirteenth edition) and typo corrections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r>
        <w:br w:type="page"/>
        <w:t>GEneral</w:t>
      </w:r>
    </w:p>
    <w:p>
      <w:pPr>
        <w:pStyle w:val="P34"/>
      </w:pPr>
      <w:r>
        <w:t>Related Sections</w:t>
      </w:r>
    </w:p>
    <w:p>
      <w:pPr>
        <w:pStyle w:val="P35"/>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highlight w:val="lightGray"/>
        </w:rPr>
      </w:pPr>
    </w:p>
    <w:p>
      <w:pPr>
        <w:pStyle w:val="P35"/>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highlight w:val="yellow"/>
        </w:rPr>
      </w:pPr>
    </w:p>
    <w:p>
      <w:pPr>
        <w:pStyle w:val="P35"/>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5"/>
        <w:numPr>
          <w:ilvl w:val="2"/>
          <w:numId w:val="0"/>
        </w:numPr>
        <w:ind w:left="720"/>
        <w:rPr>
          <w:highlight w:val="yellow"/>
        </w:rPr>
      </w:pPr>
    </w:p>
    <w:p>
      <w:pPr>
        <w:pStyle w:val="P35"/>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highlight w:val="lightGray"/>
        </w:rPr>
      </w:pPr>
    </w:p>
    <w:p>
      <w:pPr>
        <w:pStyle w:val="P35"/>
        <w:numPr>
          <w:ilvl w:val="2"/>
          <w:numId w:val="0"/>
        </w:numPr>
        <w:ind w:left="720"/>
      </w:pPr>
      <w:r>
        <w:rPr>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pPr>
      <w:r>
        <w:rPr>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5"/>
      </w:pPr>
      <w:r>
        <w:t>Sections:</w:t>
      </w:r>
    </w:p>
    <w:p>
      <w:pPr>
        <w:pStyle w:val="P36"/>
        <w:numPr>
          <w:ilvl w:val="3"/>
          <w:numId w:val="11"/>
        </w:numPr>
        <w:tabs>
          <w:tab w:val="clear" w:pos="594" w:leader="none"/>
          <w:tab w:val="left" w:pos="2250" w:leader="none"/>
        </w:tabs>
        <w:ind w:hanging="720" w:left="2160"/>
      </w:pPr>
      <w:r>
        <w:t xml:space="preserve">Section 01300 – Submittals </w:t>
      </w:r>
    </w:p>
    <w:p>
      <w:pPr>
        <w:pStyle w:val="P36"/>
      </w:pPr>
      <w:r>
        <w:t>Section 01250 – Substitutions</w:t>
      </w:r>
    </w:p>
    <w:p>
      <w:pPr>
        <w:pStyle w:val="P36"/>
      </w:pPr>
      <w:r>
        <w:t>Section 01810 – Equipment Testing and Facility Commissioning</w:t>
      </w:r>
    </w:p>
    <w:p>
      <w:pPr>
        <w:pStyle w:val="P36"/>
        <w:rPr>
          <w:highlight w:val="yellow"/>
        </w:rPr>
      </w:pPr>
      <w:r>
        <w:rPr>
          <w:highlight w:val="yellow"/>
        </w:rPr>
        <w:t>[Division 13 – SCADA and Instrumentation- insert applicable specifications]</w:t>
      </w:r>
    </w:p>
    <w:p>
      <w:pPr>
        <w:pStyle w:val="P36"/>
      </w:pPr>
      <w:r>
        <w:t>Section 16010 – Electrical General Requirements</w:t>
      </w:r>
    </w:p>
    <w:p>
      <w:pPr>
        <w:pStyle w:val="P36"/>
      </w:pPr>
      <w:r>
        <w:t xml:space="preserve">Product requirements for </w:t>
      </w:r>
      <w:r>
        <w:rPr>
          <w:highlight w:val="yellow"/>
        </w:rPr>
        <w:t>[item]...</w:t>
      </w:r>
      <w:r>
        <w:t xml:space="preserve">  for installation under this Section.</w:t>
      </w:r>
    </w:p>
    <w:p>
      <w:pPr>
        <w:pStyle w:val="P34"/>
        <w:numPr>
          <w:ilvl w:val="1"/>
          <w:numId w:val="11"/>
        </w:numPr>
      </w:pPr>
      <w:r>
        <w:t>References</w:t>
      </w:r>
    </w:p>
    <w:p>
      <w:pPr>
        <w:pStyle w:val="P35"/>
      </w:pPr>
      <w:r>
        <w:t>Canadian Standards Association (CSA)</w:t>
      </w:r>
    </w:p>
    <w:p>
      <w:pPr>
        <w:pStyle w:val="P36"/>
      </w:pPr>
      <w:r>
        <w:t>CSA-C22.2 No.42-10 General Use Receptacles, Attachment Plugs and Similar Wiring Devices.</w:t>
      </w:r>
    </w:p>
    <w:p>
      <w:pPr>
        <w:pStyle w:val="P36"/>
      </w:pPr>
      <w:r>
        <w:t>CAN/CSA-C22.2 NO. 144-M91 (R2011), Ground Fault Circuit Interrupters.</w:t>
      </w:r>
    </w:p>
    <w:p>
      <w:pPr>
        <w:pStyle w:val="P36"/>
      </w:pPr>
      <w:r>
        <w:t>C22.2 NO. 182.3-M1987 (R2014), Special Use Attachment Plugs, Receptacles and Connectors.</w:t>
      </w:r>
    </w:p>
    <w:p>
      <w:pPr>
        <w:pStyle w:val="P36"/>
      </w:pPr>
      <w:r>
        <w:t>CSA-C22.2 No.42.1-13, Cover Plates for Flush-Mounted Wiring Devices (Bi-national standard, with UL 514D).</w:t>
      </w:r>
    </w:p>
    <w:p>
      <w:pPr>
        <w:pStyle w:val="P36"/>
      </w:pPr>
      <w:r>
        <w:t>CSA-C22.2 No.55-M1986 (R2012), Special Use Switches.</w:t>
      </w:r>
    </w:p>
    <w:p>
      <w:pPr>
        <w:pStyle w:val="P36"/>
      </w:pPr>
      <w:r>
        <w:t>CSA-C22.2 No.111-10, fourth edition, General-Use Snap Switches (Bi-national standard, with UL 20, thirteenth edition).</w:t>
      </w:r>
    </w:p>
    <w:p>
      <w:pPr>
        <w:pStyle w:val="P34"/>
      </w:pPr>
      <w:r>
        <w:t>Measurement and Payment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5"/>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5"/>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5"/>
        <w:rPr>
          <w:highlight w:val="yellow"/>
        </w:rPr>
      </w:pPr>
      <w:r>
        <w:rPr>
          <w:highlight w:val="yellow"/>
        </w:rPr>
        <w:t>All costs associated with the work of this Section shall be included in the price(s) for Item No(s). ___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 xml:space="preserve">Shop Drawings and Product Data </w:t>
      </w:r>
    </w:p>
    <w:p>
      <w:pPr>
        <w:pStyle w:val="P35"/>
        <w:rPr>
          <w:highlight w:val="yellow"/>
        </w:rPr>
      </w:pPr>
      <w:r>
        <w:t xml:space="preserve">Submit shop drawings and Product data in accordance with </w:t>
      </w:r>
      <w:r>
        <w:rPr>
          <w:highlight w:val="yellow"/>
        </w:rPr>
        <w:t xml:space="preserve">Section 01300 – Submittals. </w:t>
      </w:r>
    </w:p>
    <w:p>
      <w:pPr>
        <w:pStyle w:val="P33"/>
      </w:pPr>
      <w:r>
        <w:t xml:space="preserve">PRODUCTS </w:t>
      </w:r>
    </w:p>
    <w:p>
      <w:pPr>
        <w:pStyle w:val="P34"/>
        <w:rPr>
          <w:u w:val="none"/>
        </w:rPr>
      </w:pPr>
      <w:r>
        <w:rPr>
          <w:u w:val="none"/>
        </w:rPr>
        <w:t>Switches</w:t>
      </w:r>
    </w:p>
    <w:p>
      <w:pPr>
        <w:pStyle w:val="P35"/>
      </w:pPr>
      <w:r>
        <w:t>15 A, 120 V, single pole, double pole, three-way, four-way switches as indicated in the Contract Documents in accordance with CSA-C22.2 No.55-M1986 (R2012) and CSA-C22.2 No.111-10.</w:t>
      </w:r>
    </w:p>
    <w:p>
      <w:pPr>
        <w:pStyle w:val="P35"/>
      </w:pPr>
      <w:r>
        <w:t xml:space="preserve">Manually-operated general purpose alternating current switches with the following features: </w:t>
      </w:r>
    </w:p>
    <w:p>
      <w:pPr>
        <w:pStyle w:val="P36"/>
      </w:pPr>
      <w:r>
        <w:t xml:space="preserve">Terminal holes approved for No. 14 AWG wire. </w:t>
      </w:r>
    </w:p>
    <w:p>
      <w:pPr>
        <w:pStyle w:val="P36"/>
      </w:pPr>
      <w:r>
        <w:t xml:space="preserve">Silver alloy contacts. </w:t>
      </w:r>
    </w:p>
    <w:p>
      <w:pPr>
        <w:pStyle w:val="P36"/>
      </w:pPr>
      <w:r>
        <w:t xml:space="preserve">Urea or melamine molding for parts which are subject to carbon tracking. </w:t>
      </w:r>
    </w:p>
    <w:p>
      <w:pPr>
        <w:pStyle w:val="P36"/>
      </w:pPr>
      <w:r>
        <w:t xml:space="preserve">Suitable for back and side wiring. </w:t>
      </w:r>
    </w:p>
    <w:p>
      <w:pPr>
        <w:pStyle w:val="P36"/>
      </w:pPr>
      <w:r>
        <w:t xml:space="preserve">Ivory toggle – office areas. </w:t>
      </w:r>
    </w:p>
    <w:p>
      <w:pPr>
        <w:pStyle w:val="P36"/>
      </w:pPr>
      <w:r>
        <w:t>Brown toggle – non office areas.</w:t>
      </w:r>
    </w:p>
    <w:p>
      <w:pPr>
        <w:pStyle w:val="P35"/>
      </w:pPr>
      <w:r>
        <w:t xml:space="preserve">Use switches from the same manufacturer throughout the Work. </w:t>
      </w:r>
    </w:p>
    <w:p>
      <w:pPr>
        <w:pStyle w:val="P35"/>
      </w:pPr>
      <w:r>
        <w:t xml:space="preserve">Acceptable products: </w:t>
      </w:r>
    </w:p>
    <w:p>
      <w:pPr>
        <w:pStyle w:val="P36"/>
      </w:pPr>
      <w:r>
        <w:t>Hubbell Incorporated, HBL 1201 W</w:t>
      </w:r>
    </w:p>
    <w:p>
      <w:pPr>
        <w:pStyle w:val="P36"/>
      </w:pPr>
      <w:r>
        <w:t>Leviton Manufacturing Co. Inc., 1201-2W</w:t>
      </w:r>
    </w:p>
    <w:p>
      <w:pPr>
        <w:pStyle w:val="P36"/>
      </w:pPr>
      <w:r>
        <w:t>Pass and Seymour supplied by numerous suppliers</w:t>
      </w:r>
    </w:p>
    <w:p>
      <w:pPr>
        <w:pStyle w:val="P36"/>
      </w:pPr>
      <w:r>
        <w:t>Approved Equivalent</w:t>
      </w:r>
    </w:p>
    <w:p>
      <w:pPr>
        <w:pStyle w:val="P34"/>
      </w:pPr>
      <w:r>
        <w:t>Receptacles</w:t>
      </w:r>
    </w:p>
    <w:p>
      <w:pPr>
        <w:pStyle w:val="P35"/>
      </w:pPr>
      <w:r>
        <w:t>Duplex receptacles, CSA type 5-15 R, 125 V, 15 A, U ground, in accordance with CSA-C22.2 No.42-10 with the following features:</w:t>
      </w:r>
    </w:p>
    <w:p>
      <w:pPr>
        <w:pStyle w:val="P36"/>
      </w:pPr>
      <w:r>
        <w:t xml:space="preserve">Ivory, brown urea molded housing. </w:t>
      </w:r>
    </w:p>
    <w:p>
      <w:pPr>
        <w:pStyle w:val="P36"/>
      </w:pPr>
      <w:r>
        <w:t xml:space="preserve">Suitable for No. 14 AWG for back and side wiring. </w:t>
      </w:r>
    </w:p>
    <w:p>
      <w:pPr>
        <w:pStyle w:val="P36"/>
      </w:pPr>
      <w:r>
        <w:t xml:space="preserve">Break-off links for use as split receptacles. </w:t>
      </w:r>
    </w:p>
    <w:p>
      <w:pPr>
        <w:pStyle w:val="P36"/>
      </w:pPr>
      <w:r>
        <w:t xml:space="preserve">Eight back wired entrances, four side wiring screws. </w:t>
      </w:r>
    </w:p>
    <w:p>
      <w:pPr>
        <w:pStyle w:val="P36"/>
      </w:pPr>
      <w:r>
        <w:t xml:space="preserve">Triple wipe contacts and riveted grounding contacts. </w:t>
      </w:r>
    </w:p>
    <w:p>
      <w:pPr>
        <w:pStyle w:val="P36"/>
      </w:pPr>
      <w:r>
        <w:t>Manufacturer’s specification grade.</w:t>
      </w:r>
    </w:p>
    <w:p>
      <w:pPr>
        <w:pStyle w:val="P35"/>
      </w:pPr>
      <w:r>
        <w:t xml:space="preserve">Single receptacles CSA type 5-15 R, 125 V, 15 A, U ground with the following features: </w:t>
      </w:r>
    </w:p>
    <w:p>
      <w:pPr>
        <w:pStyle w:val="P36"/>
      </w:pPr>
      <w:r>
        <w:t xml:space="preserve">Ivory, brown urea molded housing. </w:t>
      </w:r>
    </w:p>
    <w:p>
      <w:pPr>
        <w:pStyle w:val="P36"/>
      </w:pPr>
      <w:r>
        <w:t xml:space="preserve">Suitable for No. 14 AWG for back and side wiring. </w:t>
      </w:r>
    </w:p>
    <w:p>
      <w:pPr>
        <w:pStyle w:val="P36"/>
      </w:pPr>
      <w:r>
        <w:t>Four back wired entrances, 2 side wiring screws.</w:t>
      </w:r>
    </w:p>
    <w:p>
      <w:pPr>
        <w:pStyle w:val="P36"/>
      </w:pPr>
      <w:r>
        <w:t xml:space="preserve">Manufacturer’s specification grade. </w:t>
      </w:r>
    </w:p>
    <w:p>
      <w:pPr>
        <w:pStyle w:val="P35"/>
      </w:pPr>
      <w:r>
        <w:t xml:space="preserve">Other receptacles with the amperage and voltage as indicated in the Contract Documents. </w:t>
      </w:r>
    </w:p>
    <w:p>
      <w:pPr>
        <w:pStyle w:val="P35"/>
      </w:pPr>
      <w:r>
        <w:t xml:space="preserve">Use receptacles from the same manufacturer throughout the Work. </w:t>
      </w:r>
    </w:p>
    <w:p>
      <w:pPr>
        <w:pStyle w:val="P35"/>
      </w:pPr>
      <w:r>
        <w:t>Receptacles shall be sized according to the related lighting panel branch circuit breaker.</w:t>
      </w:r>
    </w:p>
    <w:p>
      <w:pPr>
        <w:pStyle w:val="P35"/>
      </w:pPr>
      <w:r>
        <w:t xml:space="preserve">Acceptable products: </w:t>
      </w:r>
    </w:p>
    <w:p>
      <w:pPr>
        <w:pStyle w:val="P36"/>
      </w:pPr>
      <w:r>
        <w:t>Hubbell Incorporated, 5262-W</w:t>
      </w:r>
    </w:p>
    <w:p>
      <w:pPr>
        <w:pStyle w:val="P36"/>
      </w:pPr>
      <w:r>
        <w:t>Leviton Manufacturing Co. Inc., 5262-W</w:t>
      </w:r>
    </w:p>
    <w:p>
      <w:pPr>
        <w:pStyle w:val="P36"/>
      </w:pPr>
      <w:r>
        <w:t>Pass and Seymour 5262-W</w:t>
      </w:r>
    </w:p>
    <w:p>
      <w:pPr>
        <w:pStyle w:val="P36"/>
      </w:pPr>
      <w:r>
        <w:t>Approved Equivalent.</w:t>
      </w:r>
    </w:p>
    <w:p>
      <w:pPr>
        <w:pStyle w:val="P34"/>
      </w:pPr>
      <w:r>
        <w:t>Selector Switch</w:t>
      </w:r>
    </w:p>
    <w:p>
      <w:pPr>
        <w:pStyle w:val="P35"/>
      </w:pPr>
      <w:r>
        <w:t xml:space="preserve">Approved Suppliers: </w:t>
      </w:r>
    </w:p>
    <w:p>
      <w:pPr>
        <w:pStyle w:val="P36"/>
      </w:pPr>
      <w:r>
        <w:t>Rockwell Automation Canada Ltd (Allen-Bradley).</w:t>
      </w:r>
    </w:p>
    <w:p>
      <w:pPr>
        <w:pStyle w:val="P36"/>
      </w:pPr>
      <w:r>
        <w:t>Schneider Canada Inc. (Square D).</w:t>
      </w:r>
    </w:p>
    <w:p>
      <w:pPr>
        <w:pStyle w:val="P36"/>
      </w:pPr>
      <w:r>
        <w:t>Approved Equivalent.</w:t>
      </w:r>
    </w:p>
    <w:p>
      <w:pPr>
        <w:pStyle w:val="P34"/>
      </w:pPr>
      <w:r>
        <w:t>Special Wiring Devices</w:t>
      </w:r>
    </w:p>
    <w:p>
      <w:pPr>
        <w:pStyle w:val="P35"/>
      </w:pPr>
      <w:r>
        <w:t>Ground fault receptacles shall be supplied and installed as shown on the Contract Drawings and in accordance with the Ontario Electrical Code for wet areas.</w:t>
      </w:r>
    </w:p>
    <w:p>
      <w:pPr>
        <w:pStyle w:val="P35"/>
      </w:pPr>
      <w:r>
        <w:t>Ground fault receptacles shall in accordance with CAN/CSA-C22.2 NO. 144-M91 (R2011), Ground Fault Circuit Interrupters.</w:t>
      </w:r>
    </w:p>
    <w:p>
      <w:pPr>
        <w:pStyle w:val="P35"/>
      </w:pPr>
      <w:r>
        <w:t>Supply and install 240/208V receptacles where shown on the Drawings. Breaker style GCCI or short cord with GFCI incorporated.</w:t>
      </w:r>
    </w:p>
    <w:p>
      <w:pPr>
        <w:pStyle w:val="P35"/>
      </w:pPr>
      <w:r>
        <w:t>Special use switches shall be in accordance with CSA-C22.2 No.55-M1986 (R2012), Special Use Switches.</w:t>
      </w:r>
    </w:p>
    <w:p>
      <w:pPr>
        <w:pStyle w:val="P34"/>
      </w:pPr>
      <w:r>
        <w:t>Cover Plates</w:t>
      </w:r>
    </w:p>
    <w:p>
      <w:pPr>
        <w:pStyle w:val="P35"/>
      </w:pPr>
      <w:r>
        <w:t>Cover plates for wiring devices shall be in accordance with CSA-C22.2 No.42.1-13, Cover Plates for Flush-Mounted Wiring Devices (Bi-national standard, with UL 514D).</w:t>
      </w:r>
    </w:p>
    <w:p>
      <w:pPr>
        <w:pStyle w:val="P35"/>
      </w:pPr>
      <w:r>
        <w:t xml:space="preserve">Use cover plates from the same manufacturer throughout the Work. </w:t>
      </w:r>
    </w:p>
    <w:p>
      <w:pPr>
        <w:pStyle w:val="P35"/>
      </w:pPr>
      <w:r>
        <w:t xml:space="preserve">Sheet steel utility box cover for wiring devices installed in surface-mounted utility boxes. </w:t>
      </w:r>
    </w:p>
    <w:p>
      <w:pPr>
        <w:pStyle w:val="P35"/>
      </w:pPr>
      <w:r>
        <w:t xml:space="preserve">Stainless steel, 1 mm thick cover plates, with a thickness of 2.5 mm for wiring devices mounted in flush-mounted outlet boxes. </w:t>
      </w:r>
    </w:p>
    <w:p>
      <w:pPr>
        <w:pStyle w:val="P35"/>
      </w:pPr>
      <w:r>
        <w:t xml:space="preserve">PVC cover plates for wiring devices mounted in surface-mounted FS (Fitting Shallow) or FD (Fitting Deep) type conduit boxes. </w:t>
      </w:r>
    </w:p>
    <w:p>
      <w:pPr>
        <w:pStyle w:val="P35"/>
      </w:pPr>
      <w:r>
        <w:t>Receptacles and switches in unfinished areas shall be complete with cover plates to match related boxes.</w:t>
      </w:r>
    </w:p>
    <w:p>
      <w:pPr>
        <w:pStyle w:val="P35"/>
      </w:pPr>
      <w:r>
        <w:t>Cover plates shall be provided for all blanked off outlets.</w:t>
      </w:r>
    </w:p>
    <w:p>
      <w:pPr>
        <w:pStyle w:val="P35"/>
      </w:pPr>
      <w:r>
        <w:t>One piece gang plates shall be used at locations where more than one device is to be mounted adjacent to each other.</w:t>
      </w:r>
    </w:p>
    <w:p>
      <w:pPr>
        <w:pStyle w:val="P35"/>
      </w:pPr>
      <w:r>
        <w:t xml:space="preserve">Weatherproof, double lift, spring-loaded cast aluminum cover plates, complete with gaskets for duplex receptacles as indicated in the Contract Documents. </w:t>
      </w:r>
    </w:p>
    <w:p>
      <w:pPr>
        <w:pStyle w:val="P35"/>
      </w:pPr>
      <w:r>
        <w:t>Weatherproof cover plates complete with gaskets for single receptacles or switches. Cover plates shall be by:</w:t>
      </w:r>
    </w:p>
    <w:p>
      <w:pPr>
        <w:pStyle w:val="P36"/>
      </w:pPr>
      <w:r>
        <w:t>Scepter Corp., T type VSC 15/10</w:t>
      </w:r>
    </w:p>
    <w:p>
      <w:pPr>
        <w:pStyle w:val="P36"/>
      </w:pPr>
      <w:r>
        <w:t xml:space="preserve">Rexel Canada Electrical Inc., Westbourne, Model WDR 15/10 </w:t>
      </w:r>
    </w:p>
    <w:p>
      <w:pPr>
        <w:pStyle w:val="P36"/>
      </w:pPr>
      <w:r>
        <w:t>Approved Equivalent.</w:t>
      </w:r>
    </w:p>
    <w:p>
      <w:pPr>
        <w:pStyle w:val="P33"/>
      </w:pPr>
      <w:r>
        <w:t xml:space="preserve">EXECUTION </w:t>
      </w:r>
    </w:p>
    <w:p>
      <w:pPr>
        <w:pStyle w:val="P34"/>
      </w:pPr>
      <w:r>
        <w:t>Installation</w:t>
      </w:r>
    </w:p>
    <w:p>
      <w:pPr>
        <w:pStyle w:val="P35"/>
      </w:pPr>
      <w:r>
        <w:t xml:space="preserve">Switches: </w:t>
      </w:r>
    </w:p>
    <w:p>
      <w:pPr>
        <w:pStyle w:val="P36"/>
      </w:pPr>
      <w:r>
        <w:t xml:space="preserve">Install single throw switches with handle in the "UP" position when the switch is closed. </w:t>
      </w:r>
    </w:p>
    <w:p>
      <w:pPr>
        <w:pStyle w:val="P36"/>
      </w:pPr>
      <w:r>
        <w:t xml:space="preserve">Install switches in gang type outlet box when more than one switch is required in one location. </w:t>
      </w:r>
    </w:p>
    <w:p>
      <w:pPr>
        <w:pStyle w:val="P35"/>
      </w:pPr>
      <w:r>
        <w:t xml:space="preserve">Mount toggle switches at the height specified in </w:t>
      </w:r>
      <w:r>
        <w:rPr>
          <w:highlight w:val="yellow"/>
        </w:rPr>
        <w:t>Section 16010 - Electrical General Requirements</w:t>
      </w:r>
      <w:r>
        <w:t xml:space="preserve"> or as otherwise indicated on the Drawings. </w:t>
      </w:r>
    </w:p>
    <w:p>
      <w:pPr>
        <w:pStyle w:val="P35"/>
      </w:pPr>
      <w:r>
        <w:t xml:space="preserve">Receptacles: </w:t>
      </w:r>
    </w:p>
    <w:p>
      <w:pPr>
        <w:pStyle w:val="P36"/>
      </w:pPr>
      <w:r>
        <w:t xml:space="preserve">Install receptacles in a gang type outlet box when more than one receptacle is required in one location. </w:t>
      </w:r>
    </w:p>
    <w:p>
      <w:pPr>
        <w:pStyle w:val="P36"/>
      </w:pPr>
      <w:r>
        <w:t xml:space="preserve">Mount receptacles at the height specified in </w:t>
      </w:r>
      <w:r>
        <w:rPr>
          <w:highlight w:val="yellow"/>
        </w:rPr>
        <w:t>Section 16010 - Electrical General Requirements</w:t>
      </w:r>
      <w:r>
        <w:t xml:space="preserve"> or as otherwise indicated on the Drawings. </w:t>
      </w:r>
    </w:p>
    <w:p>
      <w:pPr>
        <w:pStyle w:val="P36"/>
      </w:pPr>
      <w:r>
        <w:t xml:space="preserve">Where the split receptacle has one portion switched, mount vertically and switch the upper portion. </w:t>
      </w:r>
    </w:p>
    <w:p>
      <w:pPr>
        <w:pStyle w:val="P34"/>
      </w:pPr>
      <w:r>
        <w:t>Cover plates:</w:t>
      </w:r>
    </w:p>
    <w:p>
      <w:pPr>
        <w:pStyle w:val="P35"/>
      </w:pPr>
      <w:r>
        <w:t xml:space="preserve">Protect the stainless steel cover plate finish with paper or plastic film until painting and all other work has been completed. </w:t>
      </w:r>
    </w:p>
    <w:p>
      <w:pPr>
        <w:pStyle w:val="P35"/>
      </w:pPr>
      <w:r>
        <w:t xml:space="preserve">Install suitable common cover plates where wiring devices are grouped. </w:t>
      </w:r>
    </w:p>
    <w:p>
      <w:pPr>
        <w:pStyle w:val="P35"/>
      </w:pPr>
      <w:r>
        <w:t xml:space="preserve">Do not use cover plates meant for flush outlet boxes on surface-mounted boxes. </w:t>
      </w:r>
    </w:p>
    <w:p>
      <w:pPr>
        <w:pStyle w:val="P34"/>
      </w:pPr>
      <w:r>
        <w:t>Commissioning</w:t>
      </w:r>
    </w:p>
    <w:p>
      <w:pPr>
        <w:pStyle w:val="P35"/>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16141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WIRING DEVICES</w:t>
    </w:r>
    <w:r>
      <w:rPr>
        <w:rFonts w:ascii="Arial" w:hAnsi="Arial"/>
      </w:rPr>
      <w:tab/>
      <w:tab/>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16141</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ind w:firstLine="4320"/>
      <w:rPr>
        <w:rFonts w:ascii="Calibri" w:hAnsi="Calibri"/>
      </w:rPr>
    </w:pPr>
    <w:r>
      <w:rPr>
        <w:rFonts w:ascii="Calibri (Body)" w:hAnsi="Calibri (Body)"/>
        <w:b w:val="1"/>
        <w:sz w:val="22"/>
      </w:rPr>
      <w:t>WIRING DEVICES</w:t>
    </w:r>
    <w:r>
      <w:rPr>
        <w:rFonts w:ascii="Calibri (Body)" w:hAnsi="Calibri (Body)"/>
        <w:sz w:val="22"/>
      </w:rPr>
      <w:tab/>
      <w:tab/>
      <w:tab/>
      <w:t>2015-02-02</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9810" w:leader="none"/>
      </w:tabs>
      <w:rPr>
        <w:rFonts w:ascii="Calibri" w:hAnsi="Calibri"/>
      </w:rPr>
    </w:pPr>
  </w:p>
  <w:p>
    <w:pPr>
      <w:pStyle w:val="P10"/>
      <w:jc w:val="left"/>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16141</w:t>
      <w:tab/>
      <w:t>CONTRACT NO. SSTR4559</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9810" w:leader="none"/>
      </w:tabs>
      <w:rPr>
        <w:rFonts w:ascii="Calibri" w:hAnsi="Calibri"/>
      </w:rPr>
    </w:pPr>
    <w:r>
      <w:rPr>
        <w:rFonts w:ascii="Calibri (Body)" w:hAnsi="Calibri (Body)"/>
        <w:sz w:val="22"/>
      </w:rPr>
      <w:t>2015-02-02</w:t>
      <w:tab/>
      <w:tab/>
      <w:tab/>
      <w:tab/>
      <w:tab/>
    </w:r>
    <w:r>
      <w:rPr>
        <w:rFonts w:ascii="Calibri (Body)" w:hAnsi="Calibri (Body)"/>
        <w:b w:val="1"/>
        <w:sz w:val="22"/>
      </w:rPr>
      <w:t>WIRING DEVICES</w:t>
    </w:r>
  </w:p>
  <w:p>
    <w:pPr>
      <w:pBdr>
        <w:top w:val="single" w:sz="4" w:space="0" w:shadow="0" w:frame="0"/>
      </w:pBdr>
      <w:tabs>
        <w:tab w:val="center" w:pos="5175" w:leader="none"/>
        <w:tab w:val="right" w:pos="981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9810" w:leader="none"/>
      </w:tabs>
    </w:pPr>
  </w:p>
</w:hdr>
</file>

<file path=word/numbering.xml><?xml version="1.0" encoding="utf-8"?>
<w:numbering xmlns:w="http://schemas.openxmlformats.org/wordprocessingml/2006/main">
  <w:abstractNum w:abstractNumId="0">
    <w:nsid w:val="FFFFFF89"/>
    <w:multiLevelType w:val="hybridMultilevel"/>
    <w:lvl w:ilvl="0" w:tplc="0330690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71139CE"/>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09F10BA4"/>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88F72BF"/>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A0A494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E631BAC"/>
    <w:multiLevelType w:val="multilevel"/>
    <w:lvl w:ilvl="0">
      <w:start w:val="1"/>
      <w:numFmt w:val="none"/>
      <w:suff w:val="tab"/>
      <w:lvlText w:val="2.2"/>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594"/>
        <w:tabs>
          <w:tab w:val="left" w:pos="59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64F97ED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6202E69"/>
    <w:multiLevelType w:val="multilevel"/>
    <w:lvl w:ilvl="0">
      <w:start w:val="1"/>
      <w:numFmt w:val="none"/>
      <w:suff w:val="tab"/>
      <w:lvlText w:val="2.2"/>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5">
    <w:nsid w:val="79FA3EE5"/>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860"/>
        <w:tabs>
          <w:tab w:val="left" w:pos="860"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7"/>
  </w:num>
  <w:num w:numId="8">
    <w:abstractNumId w:val="3"/>
  </w:num>
  <w:num w:numId="9">
    <w:abstractNumId w:val="16"/>
  </w:num>
  <w:num w:numId="10">
    <w:abstractNumId w:val="6"/>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10"/>
  </w:num>
  <w:num w:numId="15">
    <w:abstractNumId w:val="2"/>
  </w:num>
  <w:num w:numId="16">
    <w:abstractNumId w:val="15"/>
  </w:num>
  <w:num w:numId="17">
    <w:abstractNumId w:val="8"/>
  </w:num>
  <w:num w:numId="18">
    <w:abstractNumId w:val="1"/>
  </w:num>
  <w:num w:numId="19">
    <w:abstractNumId w:val="14"/>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Plain Text"/>
    <w:basedOn w:val="P0"/>
    <w:next w:val="P25"/>
    <w:link w:val="C10"/>
    <w:pPr/>
    <w:rPr>
      <w:rFonts w:ascii="Courier New" w:hAnsi="Courier New"/>
      <w:sz w:val="20"/>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pPr>
      <w:spacing w:before="0"/>
    </w:pPr>
    <w:rPr>
      <w:rFonts w:ascii="Book Antiqua" w:hAnsi="Book Antiqua"/>
      <w:b w:val="1"/>
      <w:sz w:val="20"/>
    </w:rPr>
  </w:style>
  <w:style w:type="paragraph" w:styleId="P33">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7"/>
    <w:next w:val="P4"/>
    <w:qFormat/>
    <w:pPr>
      <w:keepNext w:val="1"/>
      <w:keepLines w:val="1"/>
      <w:numPr>
        <w:ilvl w:val="1"/>
        <w:numId w:val="3"/>
      </w:numPr>
      <w:tabs>
        <w:tab w:val="left" w:pos="720" w:leader="none"/>
        <w:tab w:val="clear" w:pos="860" w:leader="none"/>
      </w:tabs>
      <w:spacing w:before="80"/>
      <w:ind w:hanging="720" w:left="720"/>
      <w:outlineLvl w:val="1"/>
    </w:pPr>
    <w:rPr>
      <w:rFonts w:ascii="Calibri" w:hAnsi="Calibri"/>
      <w:b w:val="0"/>
      <w:u w:val="single"/>
    </w:rPr>
  </w:style>
  <w:style w:type="paragraph" w:styleId="P35">
    <w:name w:val="Heading 3"/>
    <w:basedOn w:val="P7"/>
    <w:next w:val="P35"/>
    <w:link w:val="C8"/>
    <w:qFormat/>
    <w:pPr>
      <w:numPr>
        <w:ilvl w:val="2"/>
        <w:numId w:val="3"/>
      </w:numPr>
      <w:tabs>
        <w:tab w:val="clear" w:pos="720" w:leader="none"/>
      </w:tabs>
      <w:ind w:hanging="720" w:left="1440"/>
      <w:outlineLvl w:val="2"/>
    </w:pPr>
    <w:rPr>
      <w:rFonts w:ascii="Calibri" w:hAnsi="Calibri"/>
      <w:b w:val="0"/>
    </w:rPr>
  </w:style>
  <w:style w:type="paragraph" w:styleId="P36">
    <w:name w:val="Heading 4"/>
    <w:basedOn w:val="P7"/>
    <w:next w:val="P36"/>
    <w:link w:val="C9"/>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7"/>
    <w:next w:val="P4"/>
    <w:qFormat/>
    <w:pPr>
      <w:numPr>
        <w:ilvl w:val="5"/>
        <w:numId w:val="3"/>
      </w:numPr>
      <w:outlineLvl w:val="5"/>
    </w:pPr>
    <w:rPr>
      <w:i w:val="1"/>
      <w:sz w:val="24"/>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Heading 3 Char"/>
    <w:link w:val="P35"/>
    <w:rPr>
      <w:rFonts w:ascii="Calibri" w:hAnsi="Calibri"/>
      <w:b w:val="0"/>
    </w:rPr>
  </w:style>
  <w:style w:type="character" w:styleId="C9">
    <w:name w:val="Heading 4 Char"/>
    <w:link w:val="P36"/>
    <w:rPr>
      <w:rFonts w:ascii="Calibri" w:hAnsi="Calibri"/>
      <w:b w:val="0"/>
    </w:rPr>
  </w:style>
  <w:style w:type="character" w:styleId="C10">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2015-03-06T18:51:00Z</dcterms:created>
  <cp:lastModifiedBy>Ray</cp:lastModifiedBy>
  <cp:lastPrinted>2006-08-30T11:50:00Z</cp:lastPrinted>
  <dcterms:modified xsi:type="dcterms:W3CDTF">2022-10-04T19:39:03Z</dcterms:modified>
  <cp:revision>3</cp:revision>
  <dc:title>16141_Wiring_Devices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