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13D7EA1" Type="http://schemas.openxmlformats.org/officeDocument/2006/relationships/officeDocument" Target="word/document.xml"/><Relationship Id="coreR213D7EA1" Type="http://schemas.openxmlformats.org/package/2006/relationships/metadata/core-properties" Target="docProps/core.xml"/><Relationship Id="customR213D7EA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04" w:type="dxa"/>
          </w:tcPr>
          <w:p>
            <w:pPr>
              <w:widowControl w:val="0"/>
              <w:spacing w:before="60" w:after="60" w:beforeAutospacing="0" w:afterAutospacing="0"/>
              <w:rPr>
                <w:rFonts w:ascii="Calibri" w:hAnsi="Calibri"/>
                <w:b w:val="1"/>
                <w:lang w:val="en-GB"/>
              </w:rPr>
            </w:pPr>
            <w:r>
              <w:rPr>
                <w:rFonts w:ascii="Calibri" w:hAnsi="Calibri"/>
                <w:b w:val="1"/>
                <w:lang w:val="en-GB"/>
              </w:rPr>
              <w:t>Version</w:t>
            </w:r>
          </w:p>
        </w:tc>
        <w:tc>
          <w:tcPr>
            <w:tcW w:w="2070" w:type="dxa"/>
          </w:tcPr>
          <w:p>
            <w:pPr>
              <w:widowControl w:val="0"/>
              <w:spacing w:before="60" w:after="60" w:beforeAutospacing="0" w:afterAutospacing="0"/>
              <w:rPr>
                <w:rFonts w:ascii="Calibri" w:hAnsi="Calibri"/>
                <w:b w:val="1"/>
                <w:lang w:val="en-GB"/>
              </w:rPr>
            </w:pPr>
            <w:r>
              <w:rPr>
                <w:rFonts w:ascii="Calibri" w:hAnsi="Calibri"/>
                <w:b w:val="1"/>
                <w:lang w:val="en-GB"/>
              </w:rPr>
              <w:t>Date</w:t>
            </w:r>
          </w:p>
        </w:tc>
        <w:tc>
          <w:tcPr>
            <w:tcW w:w="5773" w:type="dxa"/>
          </w:tcPr>
          <w:p>
            <w:pPr>
              <w:widowControl w:val="0"/>
              <w:spacing w:before="60" w:after="60" w:beforeAutospacing="0" w:afterAutospacing="0"/>
              <w:rPr>
                <w:rFonts w:ascii="Calibri" w:hAnsi="Calibri"/>
                <w:b w:val="1"/>
                <w:lang w:val="en-GB"/>
              </w:rPr>
            </w:pPr>
            <w:r>
              <w:rPr>
                <w:rFonts w:ascii="Calibri" w:hAnsi="Calibri"/>
                <w:b w:val="1"/>
                <w:lang w:val="en-GB"/>
              </w:rPr>
              <w:t>Description of Revisions</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1</w:t>
            </w:r>
          </w:p>
        </w:tc>
        <w:tc>
          <w:tcPr>
            <w:tcW w:w="2070" w:type="dxa"/>
          </w:tcPr>
          <w:p>
            <w:pPr>
              <w:widowControl w:val="0"/>
              <w:spacing w:before="60" w:after="60" w:beforeAutospacing="0" w:afterAutospacing="0"/>
              <w:rPr>
                <w:rFonts w:ascii="Calibri" w:hAnsi="Calibri"/>
                <w:lang w:val="en-GB"/>
              </w:rPr>
            </w:pPr>
            <w:r>
              <w:rPr>
                <w:rFonts w:ascii="Calibri" w:hAnsi="Calibri"/>
              </w:rPr>
              <w:t>August 30, 2006</w:t>
            </w:r>
          </w:p>
        </w:tc>
        <w:tc>
          <w:tcPr>
            <w:tcW w:w="5773" w:type="dxa"/>
          </w:tcPr>
          <w:p>
            <w:pPr>
              <w:widowControl w:val="0"/>
              <w:spacing w:before="60" w:after="60" w:beforeAutospacing="0" w:afterAutospacing="0"/>
              <w:rPr>
                <w:rFonts w:ascii="Calibri" w:hAnsi="Calibri"/>
                <w:lang w:val="en-GB"/>
              </w:rPr>
            </w:pPr>
            <w:r>
              <w:rPr>
                <w:rFonts w:ascii="Calibri" w:hAnsi="Calibri"/>
              </w:rPr>
              <w:t>Approved final document.</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2</w:t>
            </w:r>
          </w:p>
        </w:tc>
        <w:tc>
          <w:tcPr>
            <w:tcW w:w="2070" w:type="dxa"/>
          </w:tcPr>
          <w:p>
            <w:pPr>
              <w:widowControl w:val="0"/>
              <w:spacing w:before="60" w:after="60" w:beforeAutospacing="0" w:afterAutospacing="0"/>
              <w:rPr>
                <w:rFonts w:ascii="Calibri" w:hAnsi="Calibri"/>
                <w:lang w:val="en-GB"/>
              </w:rPr>
            </w:pPr>
            <w:r>
              <w:rPr>
                <w:rFonts w:ascii="Calibri" w:hAnsi="Calibri"/>
              </w:rPr>
              <w:t>February 19, 2010</w:t>
            </w:r>
          </w:p>
        </w:tc>
        <w:tc>
          <w:tcPr>
            <w:tcW w:w="5773" w:type="dxa"/>
          </w:tcPr>
          <w:p>
            <w:pPr>
              <w:widowControl w:val="0"/>
              <w:spacing w:before="60" w:after="60" w:beforeAutospacing="0" w:afterAutospacing="0"/>
              <w:rPr>
                <w:rFonts w:ascii="Calibri" w:hAnsi="Calibri"/>
                <w:lang w:val="en-GB"/>
              </w:rPr>
            </w:pPr>
            <w:r>
              <w:rPr>
                <w:rFonts w:ascii="Calibri" w:hAnsi="Calibri"/>
              </w:rPr>
              <w:t>Modified ‘Related Sections’ and approved suppliers</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3</w:t>
            </w:r>
          </w:p>
        </w:tc>
        <w:tc>
          <w:tcPr>
            <w:tcW w:w="2070" w:type="dxa"/>
          </w:tcPr>
          <w:p>
            <w:pPr>
              <w:widowControl w:val="0"/>
              <w:spacing w:before="60" w:after="60" w:beforeAutospacing="0" w:afterAutospacing="0"/>
              <w:rPr>
                <w:rFonts w:ascii="Calibri" w:hAnsi="Calibri"/>
                <w:lang w:val="en-GB"/>
              </w:rPr>
            </w:pPr>
            <w:r>
              <w:rPr>
                <w:rFonts w:ascii="Calibri" w:hAnsi="Calibri"/>
              </w:rPr>
              <w:t>March 22, 2011</w:t>
            </w:r>
          </w:p>
        </w:tc>
        <w:tc>
          <w:tcPr>
            <w:tcW w:w="5773" w:type="dxa"/>
          </w:tcPr>
          <w:p>
            <w:pPr>
              <w:widowControl w:val="0"/>
              <w:spacing w:before="60" w:after="60" w:beforeAutospacing="0" w:afterAutospacing="0"/>
              <w:rPr>
                <w:rFonts w:ascii="Calibri" w:hAnsi="Calibri"/>
                <w:lang w:val="en-GB"/>
              </w:rPr>
            </w:pPr>
            <w:r>
              <w:rPr>
                <w:rFonts w:ascii="Calibri" w:hAnsi="Calibri"/>
              </w:rPr>
              <w:t>Minor edits</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4</w:t>
            </w:r>
          </w:p>
        </w:tc>
        <w:tc>
          <w:tcPr>
            <w:tcW w:w="2070" w:type="dxa"/>
          </w:tcPr>
          <w:p>
            <w:pPr>
              <w:widowControl w:val="0"/>
              <w:spacing w:before="60" w:after="60" w:beforeAutospacing="0" w:afterAutospacing="0"/>
              <w:rPr>
                <w:rFonts w:ascii="Calibri" w:hAnsi="Calibri"/>
                <w:lang w:val="en-GB"/>
              </w:rPr>
            </w:pPr>
            <w:r>
              <w:rPr>
                <w:rFonts w:ascii="Calibri" w:hAnsi="Calibri"/>
              </w:rPr>
              <w:t>June 4, 2013</w:t>
            </w:r>
          </w:p>
        </w:tc>
        <w:tc>
          <w:tcPr>
            <w:tcW w:w="5773" w:type="dxa"/>
          </w:tcPr>
          <w:p>
            <w:pPr>
              <w:widowControl w:val="0"/>
              <w:spacing w:before="60" w:after="60" w:beforeAutospacing="0" w:afterAutospacing="0"/>
              <w:rPr>
                <w:rFonts w:ascii="Calibri" w:hAnsi="Calibri"/>
                <w:lang w:val="en-GB"/>
              </w:rPr>
            </w:pPr>
            <w:r>
              <w:rPr>
                <w:rFonts w:ascii="Calibri" w:hAnsi="Calibri"/>
              </w:rPr>
              <w:t>Final Draft – Consolidated Comments Spec Update Project</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5</w:t>
            </w:r>
          </w:p>
        </w:tc>
        <w:tc>
          <w:tcPr>
            <w:tcW w:w="2070" w:type="dxa"/>
          </w:tcPr>
          <w:p>
            <w:pPr>
              <w:widowControl w:val="0"/>
              <w:spacing w:before="60" w:after="60" w:beforeAutospacing="0" w:afterAutospacing="0"/>
              <w:rPr>
                <w:rFonts w:ascii="Calibri" w:hAnsi="Calibri"/>
                <w:lang w:val="en-GB"/>
              </w:rPr>
            </w:pPr>
            <w:r>
              <w:rPr>
                <w:rFonts w:ascii="Calibri" w:hAnsi="Calibri"/>
              </w:rPr>
              <w:t>July 10, 2013</w:t>
            </w:r>
          </w:p>
        </w:tc>
        <w:tc>
          <w:tcPr>
            <w:tcW w:w="5773" w:type="dxa"/>
          </w:tcPr>
          <w:p>
            <w:pPr>
              <w:widowControl w:val="0"/>
              <w:spacing w:before="60" w:after="60" w:beforeAutospacing="0" w:afterAutospacing="0"/>
              <w:rPr>
                <w:rFonts w:ascii="Calibri" w:hAnsi="Calibri"/>
                <w:lang w:val="en-GB"/>
              </w:rPr>
            </w:pPr>
            <w:r>
              <w:rPr>
                <w:rFonts w:ascii="Calibri" w:hAnsi="Calibri"/>
              </w:rPr>
              <w:t>Incorporation of new Commissioning and Computerized Maintenance Management System Data Requirements Specification cross references. Incorporated several enhancements from Newfoundland Labrador Specifications.</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6</w:t>
            </w:r>
          </w:p>
        </w:tc>
        <w:tc>
          <w:tcPr>
            <w:tcW w:w="2070" w:type="dxa"/>
          </w:tcPr>
          <w:p>
            <w:pPr>
              <w:widowControl w:val="0"/>
              <w:spacing w:before="60" w:after="60" w:beforeAutospacing="0" w:afterAutospacing="0"/>
              <w:rPr>
                <w:rFonts w:ascii="Calibri" w:hAnsi="Calibri"/>
                <w:lang w:val="en-GB"/>
              </w:rPr>
            </w:pPr>
            <w:r>
              <w:rPr>
                <w:rFonts w:ascii="Calibri" w:hAnsi="Calibri"/>
              </w:rPr>
              <w:t>July 30, 2014</w:t>
            </w:r>
          </w:p>
        </w:tc>
        <w:tc>
          <w:tcPr>
            <w:tcW w:w="5773" w:type="dxa"/>
          </w:tcPr>
          <w:p>
            <w:pPr>
              <w:widowControl w:val="0"/>
              <w:spacing w:before="60" w:after="60" w:beforeAutospacing="0" w:afterAutospacing="0"/>
              <w:rPr>
                <w:rFonts w:ascii="Calibri" w:hAnsi="Calibri"/>
                <w:lang w:val="en-GB"/>
              </w:rPr>
            </w:pPr>
            <w:r>
              <w:rPr>
                <w:rFonts w:ascii="Calibri" w:hAnsi="Calibri"/>
              </w:rPr>
              <w:t>Changes to reflect renaming of commissioning specification and final review (AV)</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7</w:t>
            </w:r>
          </w:p>
        </w:tc>
        <w:tc>
          <w:tcPr>
            <w:tcW w:w="2070" w:type="dxa"/>
          </w:tcPr>
          <w:p>
            <w:pPr>
              <w:widowControl w:val="0"/>
              <w:spacing w:before="60" w:after="60" w:beforeAutospacing="0" w:afterAutospacing="0"/>
              <w:rPr>
                <w:rFonts w:ascii="Calibri" w:hAnsi="Calibri"/>
                <w:lang w:val="en-GB"/>
              </w:rPr>
            </w:pPr>
            <w:r>
              <w:rPr>
                <w:rFonts w:ascii="Calibri" w:hAnsi="Calibri"/>
              </w:rPr>
              <w:t>February 4, 2015</w:t>
            </w:r>
          </w:p>
        </w:tc>
        <w:tc>
          <w:tcPr>
            <w:tcW w:w="5773" w:type="dxa"/>
          </w:tcPr>
          <w:p>
            <w:pPr>
              <w:widowControl w:val="0"/>
              <w:spacing w:before="60" w:after="60" w:beforeAutospacing="0" w:afterAutospacing="0"/>
              <w:rPr>
                <w:rFonts w:ascii="Calibri" w:hAnsi="Calibri"/>
                <w:lang w:val="en-GB"/>
              </w:rPr>
            </w:pPr>
            <w:r>
              <w:rPr>
                <w:rFonts w:ascii="Calibri" w:hAnsi="Calibri"/>
              </w:rPr>
              <w:t>Updated, Finalized Specification – Reference eDOCS #5630494 v8 (AV) and update to supplier official corporate name.</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8</w:t>
            </w:r>
          </w:p>
        </w:tc>
        <w:tc>
          <w:tcPr>
            <w:tcW w:w="2070" w:type="dxa"/>
          </w:tcPr>
          <w:p>
            <w:pPr>
              <w:widowControl w:val="0"/>
              <w:spacing w:before="60" w:after="60" w:beforeAutospacing="0" w:afterAutospacing="0"/>
              <w:rPr>
                <w:rFonts w:ascii="Calibri" w:hAnsi="Calibri"/>
                <w:lang w:val="en-GB"/>
              </w:rPr>
            </w:pPr>
            <w:r>
              <w:rPr>
                <w:rFonts w:ascii="Calibri" w:hAnsi="Calibri"/>
                <w:lang w:val="en-GB"/>
              </w:rPr>
              <w:t>December 3, 2018</w:t>
            </w:r>
          </w:p>
        </w:tc>
        <w:tc>
          <w:tcPr>
            <w:tcW w:w="5773" w:type="dxa"/>
          </w:tcPr>
          <w:p>
            <w:pPr>
              <w:widowControl w:val="0"/>
              <w:spacing w:before="60" w:after="60" w:beforeAutospacing="0" w:afterAutospacing="0"/>
              <w:rPr>
                <w:rFonts w:ascii="Calibri" w:hAnsi="Calibri"/>
                <w:lang w:val="en-GB"/>
              </w:rPr>
            </w:pPr>
            <w:r>
              <w:rPr>
                <w:rFonts w:ascii="Calibri" w:hAnsi="Calibri"/>
              </w:rPr>
              <w:t>iMCC standards update (MS)</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9</w:t>
            </w:r>
          </w:p>
        </w:tc>
        <w:tc>
          <w:tcPr>
            <w:tcW w:w="2070" w:type="dxa"/>
          </w:tcPr>
          <w:p>
            <w:pPr>
              <w:widowControl w:val="0"/>
              <w:spacing w:before="60" w:after="60" w:beforeAutospacing="0" w:afterAutospacing="0"/>
              <w:rPr>
                <w:rFonts w:ascii="Calibri" w:hAnsi="Calibri"/>
                <w:lang w:val="en-GB"/>
              </w:rPr>
            </w:pPr>
            <w:r>
              <w:rPr>
                <w:rFonts w:ascii="Calibri" w:hAnsi="Calibri"/>
                <w:lang w:val="en-GB"/>
              </w:rPr>
              <w:t>November 30, 2021</w:t>
            </w:r>
          </w:p>
        </w:tc>
        <w:tc>
          <w:tcPr>
            <w:tcW w:w="5773" w:type="dxa"/>
          </w:tcPr>
          <w:p>
            <w:pPr>
              <w:widowControl w:val="0"/>
              <w:spacing w:before="60" w:after="60" w:beforeAutospacing="0" w:afterAutospacing="0"/>
              <w:rPr>
                <w:rFonts w:ascii="Calibri" w:hAnsi="Calibri"/>
              </w:rPr>
            </w:pPr>
            <w:r>
              <w:rPr>
                <w:rFonts w:ascii="Calibri" w:hAnsi="Calibri"/>
              </w:rPr>
              <w:t>2.2 Added ABB Electronic and Intelligent Overload Relays (BM, MS)</w:t>
            </w:r>
          </w:p>
        </w:tc>
      </w:tr>
    </w:tbl>
    <w:p/>
    <w:p>
      <w:pPr>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Bdr>
          <w:top w:val="single" w:sz="4" w:space="1" w:shadow="0" w:frame="0"/>
          <w:left w:val="single" w:sz="4" w:space="0" w:shadow="0" w:frame="0"/>
          <w:bottom w:val="single" w:sz="4" w:space="1" w:shadow="0" w:frame="0"/>
          <w:right w:val="single" w:sz="4" w:space="4" w:shadow="0" w:frame="0"/>
        </w:pBdr>
        <w:rPr>
          <w:rFonts w:ascii="Calibri" w:hAnsi="Calibri"/>
        </w:rPr>
      </w:pPr>
    </w:p>
    <w:p>
      <w:pPr>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Bdr>
          <w:top w:val="single" w:sz="4" w:space="1" w:shadow="0" w:frame="0"/>
          <w:left w:val="single" w:sz="4" w:space="0" w:shadow="0" w:frame="0"/>
          <w:bottom w:val="single" w:sz="4" w:space="1" w:shadow="0" w:frame="0"/>
          <w:right w:val="single" w:sz="4" w:space="4" w:shadow="0" w:frame="0"/>
        </w:pBdr>
        <w:rPr>
          <w:rFonts w:ascii="Calibri" w:hAnsi="Calibri"/>
        </w:rPr>
      </w:pPr>
    </w:p>
    <w:p>
      <w:pPr>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Bdr>
          <w:top w:val="single" w:sz="4" w:space="1" w:shadow="0" w:frame="0"/>
          <w:left w:val="single" w:sz="4" w:space="0" w:shadow="0" w:frame="0"/>
          <w:bottom w:val="single" w:sz="4" w:space="1" w:shadow="0" w:frame="0"/>
          <w:right w:val="single" w:sz="4" w:space="4" w:shadow="0" w:frame="0"/>
        </w:pBdr>
        <w:rPr>
          <w:rFonts w:ascii="Calibri" w:hAnsi="Calibri"/>
          <w:b w:val="1"/>
        </w:rPr>
      </w:pPr>
    </w:p>
    <w:p>
      <w:pPr>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Bdr>
          <w:top w:val="single" w:sz="4" w:space="1" w:shadow="0" w:frame="0"/>
          <w:left w:val="single" w:sz="4" w:space="0" w:shadow="0" w:frame="0"/>
          <w:bottom w:val="single" w:sz="4" w:space="1" w:shadow="0" w:frame="0"/>
          <w:right w:val="single" w:sz="4" w:space="4" w:shadow="0" w:frame="0"/>
        </w:pBdr>
        <w:rPr>
          <w:rFonts w:ascii="Calibri" w:hAnsi="Calibri"/>
        </w:rPr>
      </w:pPr>
    </w:p>
    <w:p>
      <w:pPr>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r>
        <w:br w:type="page"/>
        <w:t>GENERAL</w:t>
      </w:r>
    </w:p>
    <w:p>
      <w:pPr>
        <w:pStyle w:val="P2"/>
        <w:rPr>
          <w:caps w:val="1"/>
        </w:rPr>
      </w:pPr>
      <w:r>
        <w:t>Related Sections</w:t>
      </w:r>
    </w:p>
    <w:p>
      <w:pPr>
        <w:tabs>
          <w:tab w:val="left" w:pos="1142" w:leader="none"/>
        </w:tabs>
        <w:spacing w:before="160" w:beforeAutospacing="0" w:afterAutospacing="0"/>
        <w:ind w:left="720"/>
        <w:outlineLvl w:val="2"/>
        <w:rPr>
          <w:rFonts w:ascii="Calibri" w:hAnsi="Calibri"/>
          <w:highlight w:val="yellow"/>
        </w:rPr>
      </w:pPr>
      <w:r>
        <w:rPr>
          <w:rFonts w:ascii="Calibri" w:hAnsi="Calibri"/>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tabs>
          <w:tab w:val="left" w:pos="1142" w:leader="none"/>
        </w:tabs>
        <w:spacing w:before="160" w:beforeAutospacing="0" w:afterAutospacing="0"/>
        <w:ind w:left="720"/>
        <w:outlineLvl w:val="2"/>
        <w:rPr>
          <w:rFonts w:ascii="Calibri" w:hAnsi="Calibri"/>
          <w:highlight w:val="yellow"/>
        </w:rPr>
      </w:pPr>
    </w:p>
    <w:p>
      <w:pPr>
        <w:tabs>
          <w:tab w:val="left" w:pos="1142" w:leader="none"/>
        </w:tabs>
        <w:spacing w:before="160" w:beforeAutospacing="0" w:afterAutospacing="0"/>
        <w:ind w:left="720"/>
        <w:outlineLvl w:val="2"/>
        <w:rPr>
          <w:rFonts w:ascii="Calibri" w:hAnsi="Calibri"/>
          <w:highlight w:val="yellow"/>
        </w:rPr>
      </w:pPr>
      <w:r>
        <w:rPr>
          <w:rFonts w:ascii="Calibri" w:hAnsi="Calibri"/>
          <w:highlight w:val="yellow"/>
        </w:rPr>
        <w:t>Cross-referencing here may also be used to coordinate assemblies or systems whose components may span multiple Sections and which must meet certain performance requirements as an assembly or system.</w:t>
      </w:r>
    </w:p>
    <w:p>
      <w:pPr>
        <w:tabs>
          <w:tab w:val="left" w:pos="1142" w:leader="none"/>
        </w:tabs>
        <w:spacing w:before="160" w:beforeAutospacing="0" w:afterAutospacing="0"/>
        <w:ind w:left="720"/>
        <w:outlineLvl w:val="2"/>
        <w:rPr>
          <w:rFonts w:ascii="Calibri" w:hAnsi="Calibri"/>
          <w:highlight w:val="yellow"/>
        </w:rPr>
      </w:pPr>
    </w:p>
    <w:p>
      <w:pPr>
        <w:tabs>
          <w:tab w:val="left" w:pos="1142" w:leader="none"/>
        </w:tabs>
        <w:spacing w:before="160" w:beforeAutospacing="0" w:afterAutospacing="0"/>
        <w:ind w:left="720"/>
        <w:outlineLvl w:val="2"/>
        <w:rPr>
          <w:rFonts w:ascii="Calibri" w:hAnsi="Calibri"/>
          <w:highlight w:val="lightGray"/>
        </w:rPr>
      </w:pPr>
      <w:r>
        <w:rPr>
          <w:rFonts w:ascii="Calibri" w:hAnsi="Calibri"/>
          <w:highlight w:val="yellow"/>
        </w:rPr>
        <w:t>This Section is to be completed/updated during the design development by the Consultant. If it is not applicable to the Section for the specific project it may be deleted.]</w:t>
      </w:r>
    </w:p>
    <w:p>
      <w:pPr>
        <w:tabs>
          <w:tab w:val="left" w:pos="1142" w:leader="none"/>
        </w:tabs>
        <w:spacing w:before="160" w:beforeAutospacing="0" w:afterAutospacing="0"/>
        <w:ind w:left="720"/>
        <w:outlineLvl w:val="2"/>
        <w:rPr>
          <w:rFonts w:ascii="Calibri" w:hAnsi="Calibri"/>
          <w:highlight w:val="lightGray"/>
        </w:rPr>
      </w:pPr>
    </w:p>
    <w:p>
      <w:pPr>
        <w:tabs>
          <w:tab w:val="left" w:pos="1142" w:leader="none"/>
        </w:tabs>
        <w:spacing w:before="160" w:beforeAutospacing="0" w:afterAutospacing="0"/>
        <w:ind w:left="720"/>
        <w:outlineLvl w:val="2"/>
        <w:rPr>
          <w:rFonts w:ascii="Calibri" w:hAnsi="Calibri"/>
        </w:rPr>
      </w:pPr>
      <w:r>
        <w:rPr>
          <w:rFonts w:ascii="Calibri" w:hAnsi="Calibri"/>
          <w:highlight w:val="yellow"/>
        </w:rPr>
        <w:t>[List Sections specifying installation of products supplied but not installed under this Section and indicate specific items.]</w:t>
      </w:r>
    </w:p>
    <w:p>
      <w:pPr>
        <w:tabs>
          <w:tab w:val="left" w:pos="1142" w:leader="none"/>
        </w:tabs>
        <w:spacing w:before="160" w:beforeAutospacing="0" w:afterAutospacing="0"/>
        <w:ind w:left="720"/>
        <w:outlineLvl w:val="2"/>
        <w:rPr>
          <w:rFonts w:ascii="Calibri" w:hAnsi="Calibri"/>
        </w:rPr>
      </w:pPr>
      <w:r>
        <w:rPr>
          <w:rFonts w:ascii="Calibri" w:hAnsi="Calibri"/>
        </w:rPr>
        <w:t xml:space="preserve">Section </w:t>
      </w:r>
      <w:r>
        <w:rPr>
          <w:rFonts w:ascii="Calibri" w:hAnsi="Calibri"/>
          <w:highlight w:val="yellow"/>
        </w:rPr>
        <w:t>[______ – ____________]</w:t>
      </w:r>
      <w:r>
        <w:rPr>
          <w:rFonts w:ascii="Calibri" w:hAnsi="Calibri"/>
        </w:rPr>
        <w:t xml:space="preserve">:  Execution requirements for </w:t>
      </w:r>
      <w:r>
        <w:rPr>
          <w:rFonts w:ascii="Calibri" w:hAnsi="Calibri"/>
          <w:highlight w:val="yellow"/>
        </w:rPr>
        <w:t>...[item]...</w:t>
      </w:r>
      <w:r>
        <w:rPr>
          <w:rFonts w:ascii="Calibri" w:hAnsi="Calibri"/>
        </w:rPr>
        <w:t xml:space="preserve">  specified under this Section.</w:t>
      </w:r>
    </w:p>
    <w:p>
      <w:pPr>
        <w:tabs>
          <w:tab w:val="left" w:pos="1142" w:leader="none"/>
        </w:tabs>
        <w:spacing w:before="160" w:beforeAutospacing="0" w:afterAutospacing="0"/>
        <w:ind w:left="720"/>
        <w:outlineLvl w:val="2"/>
        <w:rPr>
          <w:rFonts w:ascii="Calibri" w:hAnsi="Calibri"/>
        </w:rPr>
      </w:pPr>
    </w:p>
    <w:p>
      <w:pPr>
        <w:tabs>
          <w:tab w:val="left" w:pos="1142" w:leader="none"/>
        </w:tabs>
        <w:spacing w:before="160" w:beforeAutospacing="0" w:afterAutospacing="0"/>
        <w:ind w:left="720"/>
        <w:outlineLvl w:val="2"/>
        <w:rPr>
          <w:rFonts w:ascii="Calibri" w:hAnsi="Calibri"/>
        </w:rPr>
      </w:pPr>
      <w:r>
        <w:rPr>
          <w:rFonts w:ascii="Calibri" w:hAnsi="Calibri"/>
          <w:highlight w:val="yellow"/>
        </w:rPr>
        <w:t>[List Sections specifying products installed but not supplied under this Section and indicate specific items.]</w:t>
      </w:r>
    </w:p>
    <w:p>
      <w:pPr>
        <w:tabs>
          <w:tab w:val="left" w:pos="1142" w:leader="none"/>
        </w:tabs>
        <w:spacing w:before="160" w:beforeAutospacing="0" w:afterAutospacing="0"/>
        <w:ind w:left="720"/>
        <w:outlineLvl w:val="2"/>
        <w:rPr>
          <w:rFonts w:ascii="Calibri" w:hAnsi="Calibri"/>
        </w:rPr>
      </w:pPr>
      <w:r>
        <w:rPr>
          <w:rFonts w:ascii="Calibri" w:hAnsi="Calibri"/>
        </w:rPr>
        <w:t xml:space="preserve">Section </w:t>
      </w:r>
      <w:r>
        <w:rPr>
          <w:rFonts w:ascii="Calibri" w:hAnsi="Calibri"/>
          <w:highlight w:val="yellow"/>
        </w:rPr>
        <w:t>[______ – ____________]</w:t>
      </w:r>
      <w:r>
        <w:rPr>
          <w:rFonts w:ascii="Calibri" w:hAnsi="Calibri"/>
        </w:rPr>
        <w:t xml:space="preserve">:  Product requirements for </w:t>
      </w:r>
      <w:r>
        <w:rPr>
          <w:rFonts w:ascii="Calibri" w:hAnsi="Calibri"/>
          <w:highlight w:val="yellow"/>
        </w:rPr>
        <w:t>...[item]...</w:t>
      </w:r>
      <w:r>
        <w:rPr>
          <w:rFonts w:ascii="Calibri" w:hAnsi="Calibri"/>
        </w:rPr>
        <w:t xml:space="preserve">  for installation under this Section.</w:t>
      </w:r>
    </w:p>
    <w:p>
      <w:pPr>
        <w:tabs>
          <w:tab w:val="left" w:pos="1142" w:leader="none"/>
        </w:tabs>
        <w:spacing w:before="160" w:beforeAutospacing="0" w:afterAutospacing="0"/>
        <w:ind w:left="720"/>
        <w:outlineLvl w:val="2"/>
        <w:rPr>
          <w:rFonts w:ascii="Calibri" w:hAnsi="Calibri"/>
        </w:rPr>
      </w:pPr>
      <w:r>
        <w:rPr>
          <w:rFonts w:ascii="Calibri" w:hAnsi="Calibri"/>
          <w:highlight w:val="yellow"/>
        </w:rPr>
        <w:t>[List Sections specifying related requirements.]</w:t>
      </w:r>
    </w:p>
    <w:p>
      <w:pPr>
        <w:numPr>
          <w:ilvl w:val="2"/>
          <w:numId w:val="1"/>
        </w:numPr>
        <w:tabs>
          <w:tab w:val="clear" w:pos="-1980" w:leader="none"/>
          <w:tab w:val="left" w:pos="720" w:leader="none"/>
          <w:tab w:val="left" w:pos="1440" w:leader="none"/>
          <w:tab w:val="left" w:pos="1800" w:leader="none"/>
        </w:tabs>
        <w:spacing w:before="80" w:beforeAutospacing="0" w:afterAutospacing="0"/>
        <w:ind w:hanging="432" w:left="1152"/>
        <w:outlineLvl w:val="2"/>
        <w:rPr>
          <w:rFonts w:ascii="Calibri" w:hAnsi="Calibri"/>
        </w:rPr>
      </w:pPr>
      <w:r>
        <w:rPr>
          <w:rFonts w:ascii="Calibri" w:hAnsi="Calibri"/>
        </w:rPr>
        <w:t>Sections:</w:t>
      </w:r>
    </w:p>
    <w:p>
      <w:pPr>
        <w:numPr>
          <w:ilvl w:val="3"/>
          <w:numId w:val="1"/>
        </w:numPr>
        <w:tabs>
          <w:tab w:val="left" w:pos="2160" w:leader="none"/>
        </w:tabs>
        <w:ind w:hanging="720" w:left="2160"/>
        <w:outlineLvl w:val="3"/>
        <w:rPr>
          <w:rFonts w:ascii="Calibri" w:hAnsi="Calibri"/>
        </w:rPr>
      </w:pPr>
      <w:r>
        <w:rPr>
          <w:rFonts w:ascii="Calibri" w:hAnsi="Calibri"/>
        </w:rPr>
        <w:t>Section 01425 – Computerized Maintenance Management System Data Requirements</w:t>
      </w:r>
    </w:p>
    <w:p>
      <w:pPr>
        <w:numPr>
          <w:ilvl w:val="3"/>
          <w:numId w:val="1"/>
        </w:numPr>
        <w:tabs>
          <w:tab w:val="left" w:pos="2160" w:leader="none"/>
        </w:tabs>
        <w:ind w:hanging="720" w:left="2160"/>
        <w:outlineLvl w:val="3"/>
        <w:rPr>
          <w:rFonts w:ascii="Calibri" w:hAnsi="Calibri"/>
        </w:rPr>
      </w:pPr>
      <w:r>
        <w:rPr>
          <w:rFonts w:ascii="Calibri" w:hAnsi="Calibri"/>
        </w:rPr>
        <w:t>Section 01430 – Operation and Maintenance Data</w:t>
      </w:r>
    </w:p>
    <w:p>
      <w:pPr>
        <w:numPr>
          <w:ilvl w:val="3"/>
          <w:numId w:val="1"/>
        </w:numPr>
        <w:tabs>
          <w:tab w:val="left" w:pos="2160" w:leader="none"/>
        </w:tabs>
        <w:ind w:hanging="720" w:left="2160"/>
        <w:outlineLvl w:val="3"/>
        <w:rPr>
          <w:rFonts w:ascii="Calibri" w:hAnsi="Calibri"/>
        </w:rPr>
      </w:pPr>
      <w:r>
        <w:rPr>
          <w:rFonts w:ascii="Calibri" w:hAnsi="Calibri"/>
        </w:rPr>
        <w:t>Section 01600 – Material and Equipment</w:t>
      </w:r>
    </w:p>
    <w:p>
      <w:pPr>
        <w:numPr>
          <w:ilvl w:val="3"/>
          <w:numId w:val="1"/>
        </w:numPr>
        <w:tabs>
          <w:tab w:val="left" w:pos="2160" w:leader="none"/>
        </w:tabs>
        <w:ind w:hanging="720" w:left="2160"/>
        <w:outlineLvl w:val="3"/>
        <w:rPr>
          <w:rFonts w:ascii="Calibri" w:hAnsi="Calibri"/>
        </w:rPr>
      </w:pPr>
      <w:r>
        <w:rPr>
          <w:rFonts w:ascii="Calibri" w:hAnsi="Calibri"/>
        </w:rPr>
        <w:t xml:space="preserve">Section 01740 – Cleaning </w:t>
      </w:r>
    </w:p>
    <w:p>
      <w:pPr>
        <w:numPr>
          <w:ilvl w:val="3"/>
          <w:numId w:val="1"/>
        </w:numPr>
        <w:tabs>
          <w:tab w:val="left" w:pos="2160" w:leader="none"/>
        </w:tabs>
        <w:ind w:hanging="720" w:left="2160"/>
        <w:outlineLvl w:val="3"/>
        <w:rPr>
          <w:rFonts w:ascii="Calibri" w:hAnsi="Calibri"/>
        </w:rPr>
      </w:pPr>
      <w:r>
        <w:rPr>
          <w:rFonts w:ascii="Calibri" w:hAnsi="Calibri"/>
        </w:rPr>
        <w:t>Section 01810 – Equipment Testing and Facility Commissioning</w:t>
      </w:r>
    </w:p>
    <w:p>
      <w:pPr>
        <w:numPr>
          <w:ilvl w:val="3"/>
          <w:numId w:val="1"/>
        </w:numPr>
        <w:tabs>
          <w:tab w:val="left" w:pos="2160" w:leader="none"/>
        </w:tabs>
        <w:ind w:hanging="720" w:left="2160"/>
        <w:outlineLvl w:val="3"/>
        <w:rPr>
          <w:rFonts w:ascii="Calibri" w:hAnsi="Calibri"/>
        </w:rPr>
      </w:pPr>
      <w:r>
        <w:rPr>
          <w:rFonts w:ascii="Calibri" w:hAnsi="Calibri"/>
        </w:rPr>
        <w:t>Section 01820 – Demonstration and Training</w:t>
      </w:r>
    </w:p>
    <w:p>
      <w:pPr>
        <w:numPr>
          <w:ilvl w:val="3"/>
          <w:numId w:val="1"/>
        </w:numPr>
        <w:tabs>
          <w:tab w:val="left" w:pos="2160" w:leader="none"/>
        </w:tabs>
        <w:ind w:hanging="720" w:left="2160"/>
        <w:outlineLvl w:val="3"/>
        <w:rPr>
          <w:rFonts w:ascii="Calibri" w:hAnsi="Calibri"/>
          <w:highlight w:val="yellow"/>
        </w:rPr>
      </w:pPr>
      <w:r>
        <w:rPr>
          <w:rFonts w:ascii="Calibri" w:hAnsi="Calibri"/>
          <w:highlight w:val="yellow"/>
        </w:rPr>
        <w:t>Division 01 – General Requirements (insert applicable specifications)</w:t>
      </w:r>
    </w:p>
    <w:p>
      <w:pPr>
        <w:numPr>
          <w:ilvl w:val="3"/>
          <w:numId w:val="1"/>
        </w:numPr>
        <w:tabs>
          <w:tab w:val="left" w:pos="2160" w:leader="none"/>
        </w:tabs>
        <w:ind w:hanging="720" w:left="2160"/>
        <w:outlineLvl w:val="3"/>
        <w:rPr>
          <w:rFonts w:ascii="Calibri" w:hAnsi="Calibri"/>
          <w:highlight w:val="yellow"/>
        </w:rPr>
      </w:pPr>
      <w:r>
        <w:rPr>
          <w:rFonts w:ascii="Calibri" w:hAnsi="Calibri"/>
          <w:highlight w:val="yellow"/>
        </w:rPr>
        <w:t>Division 11 – Equipment (insert applicable specifications)</w:t>
      </w:r>
    </w:p>
    <w:p>
      <w:pPr>
        <w:numPr>
          <w:ilvl w:val="3"/>
          <w:numId w:val="1"/>
        </w:numPr>
        <w:tabs>
          <w:tab w:val="left" w:pos="2160" w:leader="none"/>
        </w:tabs>
        <w:ind w:hanging="720" w:left="2160"/>
        <w:outlineLvl w:val="3"/>
        <w:rPr>
          <w:rFonts w:ascii="Calibri" w:hAnsi="Calibri"/>
          <w:highlight w:val="yellow"/>
        </w:rPr>
      </w:pPr>
      <w:r>
        <w:rPr>
          <w:rFonts w:ascii="Calibri" w:hAnsi="Calibri"/>
          <w:highlight w:val="yellow"/>
        </w:rPr>
        <w:t>Division 40 – Process Interconnections (insert applicable specifications)</w:t>
      </w:r>
    </w:p>
    <w:p>
      <w:pPr>
        <w:numPr>
          <w:ilvl w:val="3"/>
          <w:numId w:val="1"/>
        </w:numPr>
        <w:tabs>
          <w:tab w:val="left" w:pos="2160" w:leader="none"/>
        </w:tabs>
        <w:ind w:hanging="720" w:left="2160"/>
        <w:outlineLvl w:val="3"/>
        <w:rPr>
          <w:rFonts w:ascii="Calibri" w:hAnsi="Calibri"/>
          <w:highlight w:val="yellow"/>
        </w:rPr>
      </w:pPr>
      <w:r>
        <w:rPr>
          <w:rFonts w:ascii="Calibri" w:hAnsi="Calibri"/>
          <w:highlight w:val="yellow"/>
        </w:rPr>
        <w:t>Division 15 – Mechanical (insert applicable specifications)</w:t>
      </w:r>
    </w:p>
    <w:p>
      <w:pPr>
        <w:numPr>
          <w:ilvl w:val="3"/>
          <w:numId w:val="1"/>
        </w:numPr>
        <w:tabs>
          <w:tab w:val="left" w:pos="2160" w:leader="none"/>
        </w:tabs>
        <w:ind w:hanging="720" w:left="2160"/>
        <w:outlineLvl w:val="3"/>
        <w:rPr>
          <w:rFonts w:ascii="Calibri" w:hAnsi="Calibri"/>
          <w:highlight w:val="yellow"/>
        </w:rPr>
      </w:pPr>
      <w:r>
        <w:rPr>
          <w:rFonts w:ascii="Calibri" w:hAnsi="Calibri"/>
          <w:highlight w:val="yellow"/>
        </w:rPr>
        <w:t>Division 16 – Equipment (insert applicable specifications)</w:t>
      </w:r>
    </w:p>
    <w:p>
      <w:pPr>
        <w:numPr>
          <w:ilvl w:val="3"/>
          <w:numId w:val="1"/>
        </w:numPr>
        <w:tabs>
          <w:tab w:val="left" w:pos="2160" w:leader="none"/>
        </w:tabs>
        <w:ind w:hanging="720" w:left="2160"/>
        <w:outlineLvl w:val="3"/>
        <w:rPr>
          <w:rFonts w:ascii="Calibri" w:hAnsi="Calibri"/>
          <w:highlight w:val="yellow"/>
        </w:rPr>
      </w:pPr>
      <w:r>
        <w:rPr>
          <w:rFonts w:ascii="Calibri" w:hAnsi="Calibri"/>
        </w:rPr>
        <w:t>Design Guidelines Section 17 – Operation Manual Guideline</w:t>
      </w:r>
    </w:p>
    <w:p>
      <w:pPr>
        <w:numPr>
          <w:ilvl w:val="3"/>
          <w:numId w:val="1"/>
        </w:numPr>
        <w:tabs>
          <w:tab w:val="left" w:pos="2160" w:leader="none"/>
        </w:tabs>
        <w:ind w:hanging="720" w:left="2160"/>
        <w:outlineLvl w:val="3"/>
        <w:rPr>
          <w:rFonts w:ascii="Calibri" w:hAnsi="Calibri"/>
        </w:rPr>
      </w:pPr>
      <w:r>
        <w:rPr>
          <w:rFonts w:ascii="Calibri" w:hAnsi="Calibri"/>
        </w:rPr>
        <w:t xml:space="preserve">Product requirements for </w:t>
      </w:r>
      <w:r>
        <w:rPr>
          <w:rFonts w:ascii="Calibri" w:hAnsi="Calibri"/>
          <w:highlight w:val="yellow"/>
        </w:rPr>
        <w:t>[item]...</w:t>
      </w:r>
      <w:r>
        <w:rPr>
          <w:rFonts w:ascii="Calibri" w:hAnsi="Calibri"/>
        </w:rPr>
        <w:t xml:space="preserve">  for installation under this Section.</w:t>
      </w:r>
    </w:p>
    <w:p/>
    <w:p>
      <w:pPr>
        <w:pStyle w:val="P2"/>
      </w:pPr>
      <w:r>
        <w:t>Submittals</w:t>
      </w:r>
    </w:p>
    <w:p>
      <w:pPr>
        <w:pStyle w:val="P3"/>
      </w:pPr>
      <w: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
      </w:pPr>
      <w:r>
        <w:t xml:space="preserve">Comply with the requirements of Division 1.  </w:t>
      </w:r>
    </w:p>
    <w:p>
      <w:pPr>
        <w:pStyle w:val="P3"/>
      </w:pPr>
      <w:r>
        <w:t>Provide all necessary licenses, permits, approvals and certificates required in order to complete the work.</w:t>
      </w:r>
    </w:p>
    <w:p>
      <w:pPr>
        <w:pStyle w:val="P3"/>
      </w:pPr>
      <w:r>
        <w:t>Submittals include but are not necessarily limited to Shop Drawings, Product Data, Samples and other Documents for Review and Submittals for Information Only.</w:t>
      </w:r>
    </w:p>
    <w:p>
      <w:pPr>
        <w:pStyle w:val="P3"/>
      </w:pPr>
      <w:r>
        <w:t>Indicate:</w:t>
      </w:r>
    </w:p>
    <w:p>
      <w:pPr>
        <w:pStyle w:val="P4"/>
      </w:pPr>
      <w:r>
        <w:t>Mounting method and dimensions</w:t>
      </w:r>
    </w:p>
    <w:p>
      <w:pPr>
        <w:pStyle w:val="P4"/>
      </w:pPr>
      <w:r>
        <w:t>Dimensioned outline drawings and conduit routing locations</w:t>
      </w:r>
    </w:p>
    <w:p>
      <w:pPr>
        <w:pStyle w:val="P4"/>
      </w:pPr>
      <w:r>
        <w:t>Starter size and type</w:t>
      </w:r>
    </w:p>
    <w:p>
      <w:pPr>
        <w:pStyle w:val="P4"/>
      </w:pPr>
      <w:r>
        <w:t>Unit description including amperage ratings, enclosure ratings, fault ratings, nameplate information, etc.</w:t>
      </w:r>
    </w:p>
    <w:p>
      <w:pPr>
        <w:pStyle w:val="P4"/>
      </w:pPr>
      <w:r>
        <w:t>Layout of identified internal and front panel components</w:t>
      </w:r>
    </w:p>
    <w:p>
      <w:pPr>
        <w:pStyle w:val="P4"/>
      </w:pPr>
      <w:r>
        <w:t>Enclosure types</w:t>
      </w:r>
    </w:p>
    <w:p>
      <w:pPr>
        <w:pStyle w:val="P4"/>
      </w:pPr>
      <w:r>
        <w:t>Wiring diagram for each type of starter</w:t>
      </w:r>
    </w:p>
    <w:p>
      <w:pPr>
        <w:pStyle w:val="P4"/>
      </w:pPr>
      <w:r>
        <w:t>Interconnection power and control diagrams</w:t>
      </w:r>
    </w:p>
    <w:p>
      <w:pPr>
        <w:pStyle w:val="P4"/>
      </w:pPr>
      <w:r>
        <w:t>Product Data Sheets on all major components including but not limited to the following:</w:t>
      </w:r>
    </w:p>
    <w:p>
      <w:pPr>
        <w:pStyle w:val="P5"/>
      </w:pPr>
      <w:r>
        <w:t>Contactors</w:t>
      </w:r>
    </w:p>
    <w:p>
      <w:pPr>
        <w:pStyle w:val="P5"/>
      </w:pPr>
      <w:r>
        <w:t>Circuit breaker and fuse</w:t>
      </w:r>
    </w:p>
    <w:p>
      <w:pPr>
        <w:pStyle w:val="P5"/>
      </w:pPr>
      <w:r>
        <w:t>Control power transformers</w:t>
      </w:r>
    </w:p>
    <w:p>
      <w:pPr>
        <w:pStyle w:val="P5"/>
      </w:pPr>
      <w:r>
        <w:t>Pilot devices</w:t>
      </w:r>
    </w:p>
    <w:p>
      <w:pPr>
        <w:pStyle w:val="P5"/>
      </w:pPr>
      <w:r>
        <w:t>Relay/timers</w:t>
      </w:r>
    </w:p>
    <w:p>
      <w:pPr>
        <w:pStyle w:val="P4"/>
      </w:pPr>
      <w:r>
        <w:t>Test procedures shall be per manufacturer’s standards</w:t>
      </w:r>
    </w:p>
    <w:p>
      <w:pPr>
        <w:pStyle w:val="P4"/>
      </w:pPr>
      <w:r>
        <w:t>The Contractor shall furnish copies of the manufacturer’s warranties.</w:t>
      </w:r>
    </w:p>
    <w:p>
      <w:pPr>
        <w:numPr>
          <w:ilvl w:val="2"/>
          <w:numId w:val="31"/>
        </w:numPr>
        <w:spacing w:before="80" w:beforeAutospacing="0" w:afterAutospacing="0"/>
        <w:outlineLvl w:val="2"/>
        <w:rPr>
          <w:rFonts w:ascii="Calibri" w:hAnsi="Calibri"/>
        </w:rPr>
      </w:pPr>
      <w:r>
        <w:rPr>
          <w:rFonts w:ascii="Calibri" w:hAnsi="Calibri"/>
        </w:rPr>
        <w:t>Include operation and maintenance data for each type and size of starter including:</w:t>
      </w:r>
    </w:p>
    <w:p>
      <w:pPr>
        <w:numPr>
          <w:ilvl w:val="3"/>
          <w:numId w:val="31"/>
        </w:numPr>
        <w:outlineLvl w:val="3"/>
        <w:rPr>
          <w:rFonts w:ascii="Calibri" w:hAnsi="Calibri"/>
        </w:rPr>
      </w:pPr>
      <w:r>
        <w:rPr>
          <w:rFonts w:ascii="Calibri" w:hAnsi="Calibri"/>
        </w:rPr>
        <w:t>Service and Contact Information</w:t>
      </w:r>
    </w:p>
    <w:p>
      <w:pPr>
        <w:numPr>
          <w:ilvl w:val="3"/>
          <w:numId w:val="31"/>
        </w:numPr>
        <w:outlineLvl w:val="3"/>
        <w:rPr>
          <w:rFonts w:ascii="Calibri" w:hAnsi="Calibri"/>
        </w:rPr>
      </w:pPr>
      <w:r>
        <w:rPr>
          <w:rFonts w:ascii="Calibri" w:hAnsi="Calibri"/>
        </w:rPr>
        <w:t>Starter and Operator Interface User Manuals</w:t>
      </w:r>
    </w:p>
    <w:p>
      <w:pPr>
        <w:numPr>
          <w:ilvl w:val="3"/>
          <w:numId w:val="31"/>
        </w:numPr>
        <w:outlineLvl w:val="3"/>
        <w:rPr>
          <w:rFonts w:ascii="Calibri" w:hAnsi="Calibri"/>
        </w:rPr>
      </w:pPr>
      <w:r>
        <w:rPr>
          <w:rFonts w:ascii="Calibri" w:hAnsi="Calibri"/>
        </w:rPr>
        <w:t>Troubleshooting/Service Manuals</w:t>
      </w:r>
    </w:p>
    <w:p>
      <w:pPr>
        <w:numPr>
          <w:ilvl w:val="2"/>
          <w:numId w:val="31"/>
        </w:numPr>
        <w:spacing w:before="80" w:beforeAutospacing="0" w:afterAutospacing="0"/>
        <w:outlineLvl w:val="2"/>
        <w:rPr>
          <w:rFonts w:ascii="Calibri" w:hAnsi="Calibri"/>
        </w:rPr>
      </w:pPr>
      <w:r>
        <w:rPr>
          <w:rFonts w:ascii="Calibri" w:hAnsi="Calibri"/>
        </w:rPr>
        <w:t>Provide final as shipped drawings</w:t>
      </w:r>
    </w:p>
    <w:p>
      <w:pPr>
        <w:numPr>
          <w:ilvl w:val="2"/>
          <w:numId w:val="31"/>
        </w:numPr>
        <w:spacing w:before="80" w:beforeAutospacing="0" w:afterAutospacing="0"/>
        <w:outlineLvl w:val="2"/>
        <w:rPr>
          <w:rFonts w:ascii="Calibri" w:hAnsi="Calibri"/>
        </w:rPr>
      </w:pPr>
      <w:r>
        <w:rPr>
          <w:rFonts w:ascii="Calibri" w:hAnsi="Calibri"/>
        </w:rPr>
        <w:t>Provide a complete list of recommended list of spare parts for each different size and type of starter.</w:t>
      </w:r>
    </w:p>
    <w:p>
      <w:pPr>
        <w:pStyle w:val="P3"/>
      </w:pPr>
      <w:r>
        <w:t>Provide a complete list of parameters indicating;</w:t>
      </w:r>
    </w:p>
    <w:p>
      <w:pPr>
        <w:pStyle w:val="P4"/>
      </w:pPr>
      <w:r>
        <w:t>Digital input assignment to align with schematics and control intent</w:t>
      </w:r>
    </w:p>
    <w:p>
      <w:pPr>
        <w:pStyle w:val="P4"/>
      </w:pPr>
      <w:r>
        <w:t>Digital output assignment to align with schematics and control intent</w:t>
      </w:r>
    </w:p>
    <w:p>
      <w:pPr>
        <w:pStyle w:val="P4"/>
      </w:pPr>
      <w:r>
        <w:t>Identify digital outputs that are to be controlled from the PAC</w:t>
      </w:r>
    </w:p>
    <w:p>
      <w:pPr>
        <w:pStyle w:val="P4"/>
      </w:pPr>
      <w:r>
        <w:t>Analog input assignment to align with schematics and control intent</w:t>
      </w:r>
    </w:p>
    <w:p>
      <w:pPr>
        <w:pStyle w:val="P4"/>
      </w:pPr>
      <w:r>
        <w:t>Analog output assignment to align with schematics and control intent</w:t>
      </w:r>
    </w:p>
    <w:p>
      <w:pPr>
        <w:pStyle w:val="P4"/>
      </w:pPr>
      <w:r>
        <w:t>Ethernet/IP parameter setup for reading digital inputs from the PAC</w:t>
      </w:r>
    </w:p>
    <w:p>
      <w:pPr>
        <w:pStyle w:val="P4"/>
      </w:pPr>
      <w:r>
        <w:t>Ethernet/IP parameter setup for writing digital inputs from the PAC</w:t>
      </w:r>
    </w:p>
    <w:p>
      <w:pPr>
        <w:pStyle w:val="P4"/>
      </w:pPr>
      <w:r>
        <w:t>Ethernet/IP parameter assignment for communication with the PAC</w:t>
      </w:r>
    </w:p>
    <w:p>
      <w:pPr>
        <w:pStyle w:val="P4"/>
      </w:pPr>
      <w:r>
        <w:t>Ethernet/IP parameter setup for reading power, fault, and/or additional information from the PAC to align with the SCADA software requirements.</w:t>
      </w:r>
    </w:p>
    <w:p>
      <w:pPr>
        <w:pStyle w:val="P3"/>
      </w:pPr>
      <w:r>
        <w:t>Indicate</w:t>
      </w:r>
    </w:p>
    <w:p>
      <w:pPr>
        <w:pStyle w:val="P4"/>
      </w:pPr>
      <w:r>
        <w:t>Starter Firmware revision</w:t>
      </w:r>
    </w:p>
    <w:p>
      <w:pPr>
        <w:pStyle w:val="P4"/>
      </w:pPr>
      <w:r>
        <w:t>Starter EDS revision</w:t>
      </w:r>
    </w:p>
    <w:p>
      <w:pPr>
        <w:pStyle w:val="P2"/>
        <w:rPr>
          <w:caps w:val="1"/>
        </w:rPr>
      </w:pPr>
      <w:r>
        <w:t>Measurement And Payment</w:t>
      </w:r>
    </w:p>
    <w:p>
      <w:pPr>
        <w:tabs>
          <w:tab w:val="left" w:pos="720" w:leader="none"/>
          <w:tab w:val="left" w:pos="2880" w:leader="none"/>
        </w:tabs>
        <w:spacing w:before="80" w:beforeAutospacing="0" w:afterAutospacing="0"/>
        <w:ind w:left="720"/>
        <w:jc w:val="both"/>
        <w:rPr>
          <w:rFonts w:ascii="Calibri" w:hAnsi="Calibri"/>
          <w:i w:val="1"/>
          <w:highlight w:val="yellow"/>
        </w:rPr>
      </w:pPr>
      <w:r>
        <w:rPr>
          <w:rFonts w:ascii="Calibri" w:hAnsi="Calibri"/>
          <w:i w:val="1"/>
          <w:highlight w:val="yellow"/>
        </w:rPr>
        <w:t>[Choose one of the following payment language provisions that best suits the individual project.</w:t>
      </w:r>
    </w:p>
    <w:p>
      <w:pPr>
        <w:tabs>
          <w:tab w:val="left" w:pos="720" w:leader="none"/>
          <w:tab w:val="left" w:pos="2880" w:leader="none"/>
        </w:tabs>
        <w:spacing w:before="80" w:beforeAutospacing="0" w:afterAutospacing="0"/>
        <w:ind w:left="720"/>
        <w:jc w:val="both"/>
        <w:rPr>
          <w:rFonts w:ascii="Calibri" w:hAnsi="Calibri"/>
          <w:i w:val="1"/>
          <w:highlight w:val="yellow"/>
        </w:rPr>
      </w:pPr>
      <w:r>
        <w:rPr>
          <w:rFonts w:ascii="Calibri" w:hAnsi="Calibri"/>
          <w:i w:val="1"/>
          <w:highlight w:val="yellow"/>
        </w:rPr>
        <w:t>If this Section is not specifically referenced by an item in the Bid Form, please use the following language:</w:t>
      </w:r>
    </w:p>
    <w:p>
      <w:pPr>
        <w:tabs>
          <w:tab w:val="left" w:pos="720" w:leader="none"/>
          <w:tab w:val="left" w:pos="1440" w:leader="none"/>
        </w:tabs>
        <w:spacing w:before="80" w:beforeAutospacing="0" w:afterAutospacing="0"/>
        <w:ind w:left="720"/>
        <w:jc w:val="both"/>
        <w:rPr>
          <w:rFonts w:ascii="Calibri" w:hAnsi="Calibri"/>
          <w:highlight w:val="yellow"/>
        </w:rPr>
      </w:pPr>
      <w:r>
        <w:rPr>
          <w:rFonts w:ascii="Calibri" w:hAnsi="Calibri"/>
          <w:highlight w:val="yellow"/>
        </w:rPr>
        <w:t>.1</w:t>
        <w:tab/>
        <w:t xml:space="preserve">The work of this Section will not be measured separately for payment.  All costs associated with the work of this Section shall be included in the Contract Price.</w:t>
      </w:r>
    </w:p>
    <w:p>
      <w:pPr>
        <w:tabs>
          <w:tab w:val="left" w:pos="720" w:leader="none"/>
          <w:tab w:val="left" w:pos="2880" w:leader="none"/>
        </w:tabs>
        <w:spacing w:before="80" w:beforeAutospacing="0" w:afterAutospacing="0"/>
        <w:ind w:left="720"/>
        <w:jc w:val="both"/>
        <w:rPr>
          <w:rFonts w:ascii="Calibri" w:hAnsi="Calibri"/>
          <w:i w:val="1"/>
          <w:highlight w:val="yellow"/>
        </w:rPr>
      </w:pPr>
      <w:r>
        <w:rPr>
          <w:rFonts w:ascii="Calibri" w:hAnsi="Calibri"/>
          <w:i w:val="1"/>
          <w:highlight w:val="yellow"/>
        </w:rPr>
        <w:t>OR If this Section is specifically referenced in the Bid Form, use the following language and identify the relevant item in the Bid Form:</w:t>
      </w:r>
    </w:p>
    <w:p>
      <w:pPr>
        <w:tabs>
          <w:tab w:val="left" w:pos="720" w:leader="none"/>
          <w:tab w:val="left" w:pos="1440" w:leader="none"/>
        </w:tabs>
        <w:spacing w:before="80" w:beforeAutospacing="0" w:afterAutospacing="0"/>
        <w:ind w:left="720"/>
        <w:jc w:val="both"/>
        <w:rPr>
          <w:rFonts w:ascii="Calibri" w:hAnsi="Calibri"/>
          <w:highlight w:val="yellow"/>
        </w:rPr>
      </w:pPr>
      <w:r>
        <w:rPr>
          <w:rFonts w:ascii="Calibri" w:hAnsi="Calibri"/>
          <w:highlight w:val="yellow"/>
        </w:rPr>
        <w:t>.1</w:t>
        <w:tab/>
        <w:t>All costs associated with the work of this Section shall be included in the price(s) for Item No(s). ___ in the Bid Form.</w:t>
      </w:r>
    </w:p>
    <w:p>
      <w:pPr>
        <w:tabs>
          <w:tab w:val="left" w:pos="720" w:leader="none"/>
          <w:tab w:val="left" w:pos="1440" w:leader="none"/>
          <w:tab w:val="left" w:pos="2880" w:leader="none"/>
        </w:tabs>
        <w:spacing w:before="80" w:beforeAutospacing="0" w:afterAutospacing="0"/>
        <w:ind w:left="720"/>
        <w:jc w:val="both"/>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2"/>
        <w:rPr>
          <w:caps w:val="1"/>
        </w:rPr>
      </w:pPr>
      <w:r>
        <w:t>Warranty</w:t>
      </w:r>
    </w:p>
    <w:p>
      <w:pPr>
        <w:pStyle w:val="P3"/>
      </w:pPr>
      <w:r>
        <w:t xml:space="preserve">Refer to Division 1, the Articles of Agreement and the General Conditions for warranty details.  Where a conflict exists between these requirements and additional requirements within Division 40, the Contractor shall meet the more stringent requirement.</w:t>
      </w:r>
    </w:p>
    <w:p>
      <w:pPr>
        <w:pStyle w:val="P3"/>
      </w:pPr>
      <w:r>
        <w:t>The warranty for products supplied under this section shall be by a local Canadian distributor in the Province of Ontario</w:t>
      </w:r>
      <w:r>
        <w:rPr>
          <w:lang w:val="en-GB"/>
        </w:rPr>
        <w:t>.</w:t>
      </w:r>
    </w:p>
    <w:p>
      <w:pPr>
        <w:pStyle w:val="P2"/>
        <w:rPr>
          <w:caps w:val="1"/>
        </w:rPr>
      </w:pPr>
      <w:r>
        <w:t>References</w:t>
      </w:r>
    </w:p>
    <w:p>
      <w:pPr>
        <w:pStyle w:val="P3"/>
      </w:pPr>
      <w:r>
        <w:t>NEMA Contactors and motor-starters.</w:t>
      </w:r>
    </w:p>
    <w:p>
      <w:pPr>
        <w:pStyle w:val="P3"/>
      </w:pPr>
      <w:r>
        <w:t>Underwriters Laboratories</w:t>
      </w:r>
    </w:p>
    <w:p>
      <w:pPr>
        <w:pStyle w:val="P4"/>
      </w:pPr>
      <w:r>
        <w:t>UL</w:t>
      </w:r>
    </w:p>
    <w:p>
      <w:pPr>
        <w:pStyle w:val="P4"/>
      </w:pPr>
      <w:r>
        <w:t>CUL</w:t>
      </w:r>
    </w:p>
    <w:p>
      <w:pPr>
        <w:pStyle w:val="P3"/>
      </w:pPr>
      <w:r>
        <w:t>National Electrical Manufacturer’s Association (NEMA)</w:t>
      </w:r>
    </w:p>
    <w:p>
      <w:pPr>
        <w:pStyle w:val="P3"/>
      </w:pPr>
      <w:r>
        <w:t>Canadian Standards Association International – CAN/CAS-C22.2 No. 14-05</w:t>
      </w:r>
    </w:p>
    <w:p>
      <w:pPr>
        <w:pStyle w:val="P1"/>
        <w:numPr>
          <w:ilvl w:val="0"/>
          <w:numId w:val="31"/>
        </w:numPr>
        <w:spacing w:before="80" w:beforeAutospacing="0" w:afterAutospacing="0"/>
      </w:pPr>
      <w:r>
        <w:t>PRODUCTS</w:t>
      </w:r>
    </w:p>
    <w:p>
      <w:pPr>
        <w:pStyle w:val="P2"/>
      </w:pPr>
      <w:r>
        <w:t>Manual Motor Starters</w:t>
      </w:r>
    </w:p>
    <w:p>
      <w:pPr>
        <w:pStyle w:val="P3"/>
      </w:pPr>
      <w:r>
        <w:t xml:space="preserve">Manual motor starters shall have a quick-make/quick-break toggle mechanism. </w:t>
      </w:r>
    </w:p>
    <w:p>
      <w:pPr>
        <w:pStyle w:val="P3"/>
      </w:pPr>
      <w:r>
        <w:t>One or three overload heaters, as appropriate with manual reset.</w:t>
      </w:r>
    </w:p>
    <w:p>
      <w:pPr>
        <w:pStyle w:val="P3"/>
      </w:pPr>
      <w:r>
        <w:t>Trip indicating handle.</w:t>
      </w:r>
    </w:p>
    <w:p>
      <w:pPr>
        <w:pStyle w:val="P3"/>
      </w:pPr>
      <w:r>
        <w:t>Pushbuttons: heavy duty, oil or dust tight as indicated, labelled as indicated.</w:t>
      </w:r>
    </w:p>
    <w:p>
      <w:pPr>
        <w:pStyle w:val="P3"/>
      </w:pPr>
      <w:r>
        <w:t>Indicating light: oil or dust tight as indicated, type and colour as indicated. Control devices mounted on panel door shall such as push-buttons, selector switches, pilot lights shall be according to the Region of York standards. Refer to Division 16 specifications for more details.</w:t>
      </w:r>
    </w:p>
    <w:p>
      <w:pPr>
        <w:pStyle w:val="P3"/>
      </w:pPr>
      <w:r>
        <w:t>Locking tab to permit padlocking in "ON" and "OFF" positions.</w:t>
      </w:r>
    </w:p>
    <w:p>
      <w:pPr>
        <w:pStyle w:val="P3"/>
      </w:pPr>
      <w:r>
        <w:t xml:space="preserve">Enclosure shall be rated NEMA 1/3R/4/4X/7/9/12 </w:t>
      </w:r>
      <w:r>
        <w:rPr>
          <w:b w:val="1"/>
          <w:i w:val="1"/>
          <w:highlight w:val="yellow"/>
        </w:rPr>
        <w:t>[Consultant to confirm]</w:t>
      </w:r>
      <w:r>
        <w:t xml:space="preserve">.  </w:t>
      </w:r>
    </w:p>
    <w:p>
      <w:pPr>
        <w:pStyle w:val="P3"/>
      </w:pPr>
      <w:r>
        <w:t>Acceptable Manufacturers: Allen Bradley, Eaton, or approved equivalent.</w:t>
      </w:r>
    </w:p>
    <w:p>
      <w:pPr>
        <w:pStyle w:val="P2"/>
      </w:pPr>
      <w:r>
        <w:t>Full Voltage Reversing and Non-Reversing Motor Starters</w:t>
      </w:r>
    </w:p>
    <w:p>
      <w:pPr>
        <w:pStyle w:val="P3"/>
      </w:pPr>
      <w:r>
        <w:t xml:space="preserve">Magnetic starters shall be equipped with double-break silver alloy contacts. </w:t>
      </w:r>
    </w:p>
    <w:p>
      <w:pPr>
        <w:pStyle w:val="P3"/>
      </w:pPr>
      <w:r>
        <w:t>Reversing starters shall consist of two (2) contactors and a single overload relay assembled together. The contactors shall be mechanically and electrically interlocked to prevent line shorts and the energizing of both contactors simultaneously</w:t>
      </w:r>
    </w:p>
    <w:p>
      <w:pPr>
        <w:pStyle w:val="P3"/>
      </w:pPr>
      <w:r>
        <w:t>Coils shall be permanently marked with voltage, frequency and part number</w:t>
      </w:r>
    </w:p>
    <w:p>
      <w:pPr>
        <w:pStyle w:val="P3"/>
      </w:pPr>
      <w:r>
        <w:t>Power and control terminal provided within starter.</w:t>
      </w:r>
    </w:p>
    <w:p>
      <w:pPr>
        <w:pStyle w:val="P3"/>
      </w:pPr>
      <w:r>
        <w:t>Control Transformer</w:t>
      </w:r>
    </w:p>
    <w:p>
      <w:pPr>
        <w:pStyle w:val="P4"/>
      </w:pPr>
      <w:r>
        <w:t>Single phase, dry type, control transformer with primary Voltage as indicated and 120V secondary, complete with primary and secondary fuses, installed within starter enclosure.</w:t>
      </w:r>
    </w:p>
    <w:p>
      <w:pPr>
        <w:pStyle w:val="P4"/>
      </w:pPr>
      <w:r>
        <w:t>Size control transformer for control circuit load plus 20% spare capacity.</w:t>
      </w:r>
    </w:p>
    <w:p>
      <w:pPr>
        <w:pStyle w:val="P3"/>
      </w:pPr>
      <w:r>
        <w:t xml:space="preserve">Provide paper copy as built wiring and schematic diagram inside starter enclosure. </w:t>
      </w:r>
    </w:p>
    <w:p>
      <w:pPr>
        <w:pStyle w:val="P3"/>
      </w:pPr>
      <w:r>
        <w:t>Control schematics to be provided in accordance with the Region of York standards. Provide CAD and PDF versions in electronic format. Files in PDF format shall be combined into a single package.</w:t>
      </w:r>
    </w:p>
    <w:p>
      <w:pPr>
        <w:pStyle w:val="P3"/>
      </w:pPr>
      <w:r>
        <w:t>Starter to include circuit breaker with level on outside of enclosure and provision for locking in the OFF position with up to 3 padlocks.</w:t>
      </w:r>
    </w:p>
    <w:p>
      <w:pPr>
        <w:pStyle w:val="P3"/>
      </w:pPr>
      <w:r>
        <w:t>Control devices as required by contract documents. Control devices mounted on panel door shall such as push-buttons, selector switches, pilot lights shall be according to the Region of York standards. Refer to Division 16 specifications for more details.</w:t>
      </w:r>
    </w:p>
    <w:p>
      <w:pPr>
        <w:pStyle w:val="P3"/>
      </w:pPr>
      <w:r>
        <w:t xml:space="preserve">Electronic Overload Relays </w:t>
      </w:r>
      <w:r>
        <w:rPr>
          <w:highlight w:val="yellow"/>
        </w:rPr>
        <w:t>[Consultant to delete this section if intelligent overload is being used]</w:t>
      </w:r>
    </w:p>
    <w:p>
      <w:pPr>
        <w:pStyle w:val="P4"/>
      </w:pPr>
      <w:r>
        <w:t>Overload relay to be self-powered electronic type.</w:t>
      </w:r>
    </w:p>
    <w:p>
      <w:pPr>
        <w:pStyle w:val="P4"/>
      </w:pPr>
      <w:r>
        <w:t xml:space="preserve">Selectable trip class </w:t>
      </w:r>
    </w:p>
    <w:p>
      <w:pPr>
        <w:pStyle w:val="P4"/>
      </w:pPr>
      <w:r>
        <w:t>Phase unbalance.</w:t>
      </w:r>
    </w:p>
    <w:p>
      <w:pPr>
        <w:pStyle w:val="P4"/>
      </w:pPr>
      <w:r>
        <w:t xml:space="preserve">NO and NC contacts provided on the relay. </w:t>
      </w:r>
    </w:p>
    <w:p>
      <w:pPr>
        <w:pStyle w:val="P4"/>
      </w:pPr>
      <w:r>
        <w:t>Visual trip indication.</w:t>
      </w:r>
    </w:p>
    <w:p>
      <w:pPr>
        <w:pStyle w:val="P4"/>
      </w:pPr>
      <w:r>
        <w:t>Overload to provide 5:1 FLA adjustability range.</w:t>
      </w:r>
    </w:p>
    <w:p>
      <w:pPr>
        <w:pStyle w:val="P4"/>
      </w:pPr>
      <w:r>
        <w:t>Manual and automatic reset capabilities.</w:t>
      </w:r>
    </w:p>
    <w:p>
      <w:pPr>
        <w:pStyle w:val="P4"/>
      </w:pPr>
      <w:r>
        <w:t xml:space="preserve">Remote reset capabilities </w:t>
      </w:r>
      <w:r>
        <w:rPr>
          <w:b w:val="1"/>
          <w:i w:val="1"/>
          <w:highlight w:val="yellow"/>
        </w:rPr>
        <w:t>[Consultant to confirm]</w:t>
      </w:r>
      <w:r>
        <w:t xml:space="preserve">.  </w:t>
      </w:r>
    </w:p>
    <w:p>
      <w:pPr>
        <w:pStyle w:val="P3"/>
      </w:pPr>
      <w:r>
        <w:t>Acceptable manufacturers: Allen Bradley, Eaton, ABB or equivalent.</w:t>
      </w:r>
    </w:p>
    <w:p>
      <w:pPr>
        <w:pStyle w:val="P3"/>
      </w:pPr>
      <w:r>
        <w:t xml:space="preserve">Intelligent Overload Relays </w:t>
      </w:r>
      <w:r>
        <w:rPr>
          <w:highlight w:val="yellow"/>
        </w:rPr>
        <w:t xml:space="preserve">[Consultant to delete this section if intelligent overload is </w:t>
      </w:r>
      <w:r>
        <w:rPr>
          <w:u w:val="single"/>
          <w:highlight w:val="yellow"/>
        </w:rPr>
        <w:t>NOT</w:t>
      </w:r>
      <w:r>
        <w:rPr>
          <w:highlight w:val="yellow"/>
        </w:rPr>
        <w:t xml:space="preserve"> being used]</w:t>
      </w:r>
    </w:p>
    <w:p>
      <w:pPr>
        <w:pStyle w:val="P4"/>
      </w:pPr>
      <w:r>
        <w:t xml:space="preserve">Provide intelligent overload relays (IOR) where indicated on drawings for each starter and/or where indicated on the drawings for protection, control and monitoring of equipment. </w:t>
      </w:r>
    </w:p>
    <w:p>
      <w:pPr>
        <w:pStyle w:val="P4"/>
      </w:pPr>
      <w:r>
        <w:t xml:space="preserve">The IOR shall be UL Listed and CSA certified.  IOR to meet UL 60947-4-1, IEC/EN 60947-4-1 and CSA 22.2 #60947-4-1 standards</w:t>
      </w:r>
    </w:p>
    <w:p>
      <w:pPr>
        <w:pStyle w:val="P4"/>
      </w:pPr>
      <w:r>
        <w:t xml:space="preserve">The relay shall not require external current transformers for applications up to 136 amperes for motors rated less than 600VAC. Where larger motors are involved, external current transformers shall be used. </w:t>
      </w:r>
    </w:p>
    <w:p>
      <w:pPr>
        <w:pStyle w:val="P4"/>
      </w:pPr>
      <w:r>
        <w:t>The IOR shall come with LED status Indicators to indicate IOR Fault and Warning conditions.</w:t>
      </w:r>
    </w:p>
    <w:p>
      <w:pPr>
        <w:pStyle w:val="P4"/>
      </w:pPr>
      <w:r>
        <w:t>The IOR shall have selectable trip classes from 5 to 30 minimum.</w:t>
      </w:r>
    </w:p>
    <w:p>
      <w:pPr>
        <w:pStyle w:val="P4"/>
      </w:pPr>
      <w:r>
        <w:t>The IOR shall have both manual and automatic reset mode.</w:t>
      </w:r>
    </w:p>
    <w:p>
      <w:pPr>
        <w:pStyle w:val="P4"/>
      </w:pPr>
      <w:r>
        <w:t>The IOR shall have non-volatile memory back-up.</w:t>
      </w:r>
    </w:p>
    <w:p>
      <w:pPr>
        <w:pStyle w:val="P4"/>
      </w:pPr>
      <w:r>
        <w:t>The IOR shall provide the following protection features:</w:t>
      </w:r>
    </w:p>
    <w:p>
      <w:pPr>
        <w:pStyle w:val="P5"/>
        <w:numPr>
          <w:ilvl w:val="4"/>
          <w:numId w:val="37"/>
        </w:numPr>
      </w:pPr>
      <w:r>
        <w:t>Overtemperature Protection</w:t>
      </w:r>
    </w:p>
    <w:p>
      <w:pPr>
        <w:pStyle w:val="P5"/>
      </w:pPr>
      <w:r>
        <w:t>Voltage and Current Phase Loss</w:t>
      </w:r>
    </w:p>
    <w:p>
      <w:pPr>
        <w:pStyle w:val="P5"/>
      </w:pPr>
      <w:r>
        <w:t>Stall</w:t>
      </w:r>
    </w:p>
    <w:p>
      <w:pPr>
        <w:pStyle w:val="P5"/>
      </w:pPr>
      <w:r>
        <w:t>Jam</w:t>
      </w:r>
    </w:p>
    <w:p>
      <w:pPr>
        <w:pStyle w:val="P5"/>
      </w:pPr>
      <w:r>
        <w:t>Underload</w:t>
      </w:r>
    </w:p>
    <w:p>
      <w:pPr>
        <w:pStyle w:val="P5"/>
      </w:pPr>
      <w:r>
        <w:t xml:space="preserve">Current imbalance </w:t>
      </w:r>
    </w:p>
    <w:p>
      <w:pPr>
        <w:pStyle w:val="P5"/>
      </w:pPr>
      <w:r>
        <w:t>Ground Fault</w:t>
      </w:r>
    </w:p>
    <w:p>
      <w:pPr>
        <w:pStyle w:val="P5"/>
      </w:pPr>
      <w:r>
        <w:t>Phase Rotation</w:t>
      </w:r>
    </w:p>
    <w:p>
      <w:pPr>
        <w:pStyle w:val="P5"/>
      </w:pPr>
      <w:r>
        <w:t>Overvoltage</w:t>
      </w:r>
    </w:p>
    <w:p>
      <w:pPr>
        <w:pStyle w:val="P5"/>
      </w:pPr>
      <w:r>
        <w:t>Undervoltage</w:t>
      </w:r>
    </w:p>
    <w:p>
      <w:pPr>
        <w:pStyle w:val="P5"/>
      </w:pPr>
      <w:r>
        <w:t>Voltage Imbalance</w:t>
      </w:r>
    </w:p>
    <w:p>
      <w:pPr>
        <w:pStyle w:val="P5"/>
      </w:pPr>
      <w:r>
        <w:t>Frequency Deviation</w:t>
      </w:r>
    </w:p>
    <w:p>
      <w:pPr>
        <w:pStyle w:val="P5"/>
      </w:pPr>
      <w:r>
        <w:t>Power Factor Deviation</w:t>
      </w:r>
    </w:p>
    <w:p>
      <w:pPr>
        <w:pStyle w:val="P4"/>
      </w:pPr>
      <w:r>
        <w:t>The IOR shall provide the following monitoring features:</w:t>
      </w:r>
    </w:p>
    <w:p>
      <w:pPr>
        <w:pStyle w:val="P5"/>
        <w:numPr>
          <w:ilvl w:val="4"/>
          <w:numId w:val="38"/>
        </w:numPr>
      </w:pPr>
      <w:r>
        <w:t>Current monitoring (Phase, Average, Imbalance)</w:t>
      </w:r>
    </w:p>
    <w:p>
      <w:pPr>
        <w:pStyle w:val="P5"/>
      </w:pPr>
      <w:r>
        <w:t>Voltage Monitoring (L-L, L-L avg, Phase Order, Imbalance)</w:t>
      </w:r>
    </w:p>
    <w:p>
      <w:pPr>
        <w:pStyle w:val="P5"/>
      </w:pPr>
      <w:r>
        <w:t>Frequency</w:t>
      </w:r>
    </w:p>
    <w:p>
      <w:pPr>
        <w:pStyle w:val="P5"/>
      </w:pPr>
      <w:r>
        <w:t>Power (kW, kVA, kVAR, PF, kWh, kVAh, kVARh)</w:t>
      </w:r>
    </w:p>
    <w:p>
      <w:pPr>
        <w:pStyle w:val="P5"/>
      </w:pPr>
      <w:r>
        <w:t>Device Status</w:t>
      </w:r>
    </w:p>
    <w:p>
      <w:pPr>
        <w:pStyle w:val="P5"/>
      </w:pPr>
      <w:r>
        <w:t>Operating Time</w:t>
      </w:r>
    </w:p>
    <w:p>
      <w:pPr>
        <w:pStyle w:val="P5"/>
      </w:pPr>
      <w:r>
        <w:t>Time to Trip</w:t>
      </w:r>
    </w:p>
    <w:p>
      <w:pPr>
        <w:pStyle w:val="P5"/>
      </w:pPr>
      <w:r>
        <w:t>Time to Reset</w:t>
      </w:r>
    </w:p>
    <w:p>
      <w:pPr>
        <w:pStyle w:val="P5"/>
      </w:pPr>
      <w:r>
        <w:t>PTC Status</w:t>
      </w:r>
    </w:p>
    <w:p>
      <w:pPr>
        <w:pStyle w:val="P5"/>
      </w:pPr>
      <w:r>
        <w:t>Run Time</w:t>
      </w:r>
    </w:p>
    <w:p>
      <w:pPr>
        <w:pStyle w:val="P5"/>
      </w:pPr>
      <w:r>
        <w:t>Number of Starts</w:t>
      </w:r>
    </w:p>
    <w:p>
      <w:pPr>
        <w:pStyle w:val="P5"/>
      </w:pPr>
      <w:r>
        <w:t>Thermal Memory</w:t>
      </w:r>
    </w:p>
    <w:p>
      <w:pPr>
        <w:pStyle w:val="P5"/>
      </w:pPr>
      <w:r>
        <w:t>Snapshot Trip</w:t>
      </w:r>
    </w:p>
    <w:p>
      <w:pPr>
        <w:pStyle w:val="P4"/>
      </w:pPr>
      <w:r>
        <w:t xml:space="preserve">The IOR shall have onboard I/O, 4 Digital Input, 3 Relay Output minimum.  Additional I/O shall be provided either through IOR expansion modules or stand-alone modules as indicated on the contract drawings.</w:t>
      </w:r>
    </w:p>
    <w:p>
      <w:pPr>
        <w:pStyle w:val="P4"/>
      </w:pPr>
      <w:r>
        <w:t xml:space="preserve">The IOR to have a display unit that can be mounted on the MCC/panel door.  Display unit shall be powered from the IOR module.  Display units requiring a separate power source will not be accepted.  Display unit shall have the following features:</w:t>
      </w:r>
    </w:p>
    <w:p>
      <w:pPr>
        <w:pStyle w:val="P5"/>
        <w:numPr>
          <w:ilvl w:val="4"/>
          <w:numId w:val="39"/>
        </w:numPr>
      </w:pPr>
      <w:r>
        <w:t>Status LEDs that indicate a Fault or waring condition</w:t>
      </w:r>
    </w:p>
    <w:p>
      <w:pPr>
        <w:pStyle w:val="P5"/>
      </w:pPr>
      <w:r>
        <w:t>Monitoring window to display current, voltage, power, thermal and other motor system parameters.</w:t>
      </w:r>
    </w:p>
    <w:p>
      <w:pPr>
        <w:pStyle w:val="P5"/>
      </w:pPr>
      <w:r>
        <w:t>Ability for customer to program and customize the device using the interface.</w:t>
      </w:r>
    </w:p>
    <w:p>
      <w:pPr>
        <w:pStyle w:val="P5"/>
      </w:pPr>
      <w:r>
        <w:t>Fault description on screen if fault event occurs.</w:t>
      </w:r>
    </w:p>
    <w:p>
      <w:pPr>
        <w:pStyle w:val="P5"/>
      </w:pPr>
      <w:r>
        <w:t>Reset button.</w:t>
      </w:r>
    </w:p>
    <w:p>
      <w:pPr>
        <w:pStyle w:val="P4"/>
      </w:pPr>
      <w:r>
        <w:t>Communication</w:t>
      </w:r>
    </w:p>
    <w:p>
      <w:pPr>
        <w:pStyle w:val="P5"/>
        <w:numPr>
          <w:ilvl w:val="4"/>
          <w:numId w:val="40"/>
        </w:numPr>
      </w:pPr>
      <w:r>
        <w:t>Fully functional communication capabilities for interface with Ethernet/IP</w:t>
      </w:r>
    </w:p>
    <w:p>
      <w:pPr>
        <w:pStyle w:val="P4"/>
      </w:pPr>
      <w:r>
        <w:t>Acceptable Manufacturers</w:t>
      </w:r>
    </w:p>
    <w:p>
      <w:pPr>
        <w:pStyle w:val="P5"/>
        <w:numPr>
          <w:ilvl w:val="4"/>
          <w:numId w:val="41"/>
        </w:numPr>
      </w:pPr>
      <w:r>
        <w:t>Acceptable Manufacturers are listed in the following table in no order or preference. The Contractor is responsible for all costs associated with any changes required to the design to accommodate an alternate manufacturer.</w:t>
      </w:r>
    </w:p>
    <w:tbl>
      <w:tblPr>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rPr>
          <w:trHeight w:hRule="atLeast" w:val="349"/>
          <w:jc w:val="right"/>
        </w:trPr>
        <w:tc>
          <w:tcPr>
            <w:tcW w:w="267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0"/>
            </w:pPr>
          </w:p>
        </w:tc>
        <w:tc>
          <w:tcPr>
            <w:tcW w:w="267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7"/>
            </w:pPr>
            <w:r>
              <w:t>Manufacturer</w:t>
            </w:r>
          </w:p>
        </w:tc>
        <w:tc>
          <w:tcPr>
            <w:tcW w:w="267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7"/>
            </w:pPr>
            <w:r>
              <w:t>Model</w:t>
            </w:r>
          </w:p>
        </w:tc>
      </w:tr>
      <w:tr>
        <w:trPr>
          <w:trHeight w:hRule="atLeast" w:val="349"/>
          <w:jc w:val="right"/>
        </w:trPr>
        <w:tc>
          <w:tcPr>
            <w:tcW w:w="2670" w:type="dxa"/>
            <w:tcBorders>
              <w:top w:val="single" w:sz="18" w:space="0" w:shadow="0" w:frame="0" w:color="000000"/>
            </w:tcBorders>
          </w:tcPr>
          <w:p>
            <w:pPr>
              <w:pStyle w:val="P4"/>
              <w:numPr>
                <w:ilvl w:val="3"/>
                <w:numId w:val="0"/>
              </w:numPr>
              <w:ind w:firstLine="0" w:left="0"/>
            </w:pPr>
            <w:r>
              <w:t>1</w:t>
            </w:r>
          </w:p>
        </w:tc>
        <w:tc>
          <w:tcPr>
            <w:tcW w:w="2670" w:type="dxa"/>
            <w:tcBorders>
              <w:top w:val="single" w:sz="18" w:space="0" w:shadow="0" w:frame="0" w:color="000000"/>
            </w:tcBorders>
          </w:tcPr>
          <w:p>
            <w:pPr>
              <w:pStyle w:val="P4"/>
              <w:numPr>
                <w:ilvl w:val="3"/>
                <w:numId w:val="0"/>
              </w:numPr>
              <w:ind w:firstLine="0" w:left="187"/>
            </w:pPr>
            <w:r>
              <w:t>Allen Bradley</w:t>
            </w:r>
          </w:p>
        </w:tc>
        <w:tc>
          <w:tcPr>
            <w:tcW w:w="2670" w:type="dxa"/>
            <w:tcBorders>
              <w:top w:val="single" w:sz="18" w:space="0" w:shadow="0" w:frame="0" w:color="000000"/>
            </w:tcBorders>
          </w:tcPr>
          <w:p>
            <w:pPr>
              <w:pStyle w:val="P4"/>
              <w:numPr>
                <w:ilvl w:val="3"/>
                <w:numId w:val="0"/>
              </w:numPr>
              <w:ind w:firstLine="0" w:left="187"/>
            </w:pPr>
            <w:r>
              <w:t>E300</w:t>
            </w:r>
          </w:p>
        </w:tc>
      </w:tr>
      <w:tr>
        <w:trPr>
          <w:trHeight w:hRule="atLeast" w:val="349"/>
          <w:jc w:val="right"/>
        </w:trPr>
        <w:tc>
          <w:tcPr>
            <w:tcW w:w="2670" w:type="dxa"/>
          </w:tcPr>
          <w:p>
            <w:pPr>
              <w:pStyle w:val="P4"/>
              <w:numPr>
                <w:ilvl w:val="3"/>
                <w:numId w:val="0"/>
              </w:numPr>
              <w:ind w:firstLine="0" w:left="0"/>
            </w:pPr>
            <w:r>
              <w:t>2</w:t>
            </w:r>
          </w:p>
        </w:tc>
        <w:tc>
          <w:tcPr>
            <w:tcW w:w="2670" w:type="dxa"/>
          </w:tcPr>
          <w:p>
            <w:pPr>
              <w:pStyle w:val="P4"/>
              <w:numPr>
                <w:ilvl w:val="3"/>
                <w:numId w:val="0"/>
              </w:numPr>
              <w:ind w:firstLine="0" w:left="187"/>
            </w:pPr>
            <w:r>
              <w:t>Eaton</w:t>
            </w:r>
          </w:p>
        </w:tc>
        <w:tc>
          <w:tcPr>
            <w:tcW w:w="2670" w:type="dxa"/>
          </w:tcPr>
          <w:p>
            <w:pPr>
              <w:pStyle w:val="P4"/>
              <w:numPr>
                <w:ilvl w:val="3"/>
                <w:numId w:val="0"/>
              </w:numPr>
              <w:ind w:firstLine="0" w:left="187"/>
            </w:pPr>
            <w:r>
              <w:t>C441</w:t>
            </w:r>
          </w:p>
        </w:tc>
      </w:tr>
      <w:tr>
        <w:trPr>
          <w:trHeight w:hRule="atLeast" w:val="349"/>
          <w:jc w:val="right"/>
        </w:trPr>
        <w:tc>
          <w:tcPr>
            <w:tcW w:w="2670" w:type="dxa"/>
          </w:tcPr>
          <w:p>
            <w:pPr>
              <w:pStyle w:val="P4"/>
              <w:numPr>
                <w:ilvl w:val="3"/>
                <w:numId w:val="0"/>
              </w:numPr>
              <w:ind w:firstLine="0" w:left="0"/>
            </w:pPr>
            <w:r>
              <w:t>3</w:t>
            </w:r>
          </w:p>
        </w:tc>
        <w:tc>
          <w:tcPr>
            <w:tcW w:w="2670" w:type="dxa"/>
          </w:tcPr>
          <w:p>
            <w:pPr>
              <w:pStyle w:val="P4"/>
              <w:numPr>
                <w:ilvl w:val="3"/>
                <w:numId w:val="0"/>
              </w:numPr>
              <w:ind w:firstLine="0" w:left="187"/>
            </w:pPr>
            <w:r>
              <w:t>ABB</w:t>
            </w:r>
          </w:p>
        </w:tc>
        <w:tc>
          <w:tcPr>
            <w:tcW w:w="2670" w:type="dxa"/>
          </w:tcPr>
          <w:p>
            <w:pPr>
              <w:pStyle w:val="P4"/>
              <w:numPr>
                <w:ilvl w:val="3"/>
                <w:numId w:val="0"/>
              </w:numPr>
              <w:ind w:firstLine="0" w:left="187"/>
            </w:pPr>
            <w:r>
              <w:t>UMC100.3</w:t>
            </w:r>
          </w:p>
        </w:tc>
      </w:tr>
      <w:tr>
        <w:trPr>
          <w:trHeight w:hRule="atLeast" w:val="349"/>
          <w:jc w:val="right"/>
        </w:trPr>
        <w:tc>
          <w:tcPr>
            <w:tcW w:w="2670" w:type="dxa"/>
          </w:tcPr>
          <w:p>
            <w:pPr>
              <w:pStyle w:val="P4"/>
              <w:numPr>
                <w:ilvl w:val="3"/>
                <w:numId w:val="0"/>
              </w:numPr>
              <w:ind w:firstLine="0" w:left="0"/>
            </w:pPr>
            <w:r>
              <w:t>4</w:t>
            </w:r>
          </w:p>
        </w:tc>
        <w:tc>
          <w:tcPr>
            <w:tcW w:w="2670" w:type="dxa"/>
          </w:tcPr>
          <w:p>
            <w:pPr>
              <w:pStyle w:val="P4"/>
              <w:numPr>
                <w:ilvl w:val="3"/>
                <w:numId w:val="0"/>
              </w:numPr>
              <w:ind w:firstLine="0" w:left="187"/>
            </w:pPr>
            <w:r>
              <w:t>Or Equivalent</w:t>
            </w:r>
          </w:p>
        </w:tc>
        <w:tc>
          <w:tcPr>
            <w:tcW w:w="2670" w:type="dxa"/>
          </w:tcPr>
          <w:p>
            <w:pPr>
              <w:pStyle w:val="P4"/>
              <w:numPr>
                <w:ilvl w:val="3"/>
                <w:numId w:val="0"/>
              </w:numPr>
              <w:ind w:firstLine="0" w:left="187"/>
            </w:pPr>
          </w:p>
        </w:tc>
      </w:tr>
    </w:tbl>
    <w:p>
      <w:pPr>
        <w:pStyle w:val="P14"/>
        <w:spacing w:before="80" w:after="0" w:beforeAutospacing="0" w:afterAutospacing="0"/>
        <w:ind w:left="576"/>
        <w:rPr>
          <w:rFonts w:ascii="Calibri" w:hAnsi="Calibri"/>
        </w:rPr>
      </w:pPr>
    </w:p>
    <w:p>
      <w:pPr>
        <w:pStyle w:val="P14"/>
        <w:spacing w:before="80" w:after="0" w:beforeAutospacing="0" w:afterAutospacing="0"/>
        <w:ind w:firstLine="144" w:left="1296"/>
        <w:rPr>
          <w:rFonts w:ascii="Calibri" w:hAnsi="Calibri"/>
          <w:sz w:val="22"/>
        </w:rPr>
      </w:pPr>
      <w:r>
        <w:rPr>
          <w:rFonts w:ascii="Calibri" w:hAnsi="Calibri"/>
          <w:sz w:val="22"/>
        </w:rPr>
        <w:t>First Named Manufacturer:</w:t>
      </w:r>
    </w:p>
    <w:tbl>
      <w:tblPr>
        <w:tblW w:w="8778" w:type="dxa"/>
        <w:tblInd w:w="1462"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atLeast" w:val="288"/>
        </w:trPr>
        <w:tc>
          <w:tcPr>
            <w:tcW w:w="4389"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Manufacturer</w:t>
            </w:r>
          </w:p>
        </w:tc>
        <w:tc>
          <w:tcPr>
            <w:tcW w:w="4389"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Allen Bradley</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 xml:space="preserve">Model </w:t>
            </w:r>
          </w:p>
        </w:tc>
        <w:tc>
          <w:tcPr>
            <w:tcW w:w="4389" w:type="dxa"/>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E300</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Control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120VAC, I/O and Protection (193-E10GP-22-120)</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Sensing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Voltage/current/ground fault</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Communication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Ethernet/IP (193-ECM-ETR)</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Operator Interface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Yes (193-EOS-SDS + cable)</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I/O Digital Expansion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highlight w:val="yellow"/>
              </w:rPr>
            </w:pPr>
            <w:r>
              <w:rPr>
                <w:rFonts w:ascii="Calibri" w:hAnsi="Calibri"/>
                <w:color w:val="000000"/>
              </w:rPr>
              <w:t>4in/2out (193-EXP-DIO-42-120)</w:t>
            </w:r>
          </w:p>
        </w:tc>
      </w:tr>
      <w:tr>
        <w:trPr>
          <w:trHeight w:hRule="atLeast" w:val="288"/>
        </w:trPr>
        <w:tc>
          <w:tcPr>
            <w:tcW w:w="4389"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highlight w:val="yellow"/>
              </w:rPr>
            </w:pPr>
            <w:r>
              <w:rPr>
                <w:rFonts w:ascii="Calibri" w:hAnsi="Calibri"/>
              </w:rPr>
              <w:t>Power Supply Expansion Module</w:t>
            </w:r>
          </w:p>
        </w:tc>
        <w:tc>
          <w:tcPr>
            <w:tcW w:w="4389"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highlight w:val="yellow"/>
              </w:rPr>
            </w:pPr>
            <w:r>
              <w:rPr>
                <w:rFonts w:ascii="Calibri" w:hAnsi="Calibri"/>
              </w:rPr>
              <w:t>193-EXP-PS-AC (only required if more than one expansion module is added)</w:t>
            </w:r>
          </w:p>
        </w:tc>
      </w:tr>
    </w:tbl>
    <w:p>
      <w:pPr>
        <w:pStyle w:val="P14"/>
        <w:spacing w:before="80" w:after="0" w:beforeAutospacing="0" w:afterAutospacing="0"/>
        <w:ind w:firstLine="144" w:left="1296"/>
        <w:rPr>
          <w:rFonts w:ascii="Calibri" w:hAnsi="Calibri"/>
          <w:sz w:val="22"/>
        </w:rPr>
      </w:pPr>
      <w:bookmarkStart w:id="0" w:name="_Hlk80619236"/>
      <w:r>
        <w:rPr>
          <w:rFonts w:ascii="Calibri" w:hAnsi="Calibri"/>
          <w:sz w:val="22"/>
        </w:rPr>
        <w:t>Second Named Manufacturer:</w:t>
      </w:r>
    </w:p>
    <w:tbl>
      <w:tblPr>
        <w:tblW w:w="8778" w:type="dxa"/>
        <w:tblInd w:w="1462"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atLeast" w:val="288"/>
        </w:trPr>
        <w:tc>
          <w:tcPr>
            <w:tcW w:w="4389"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Manufacturer</w:t>
            </w:r>
          </w:p>
        </w:tc>
        <w:tc>
          <w:tcPr>
            <w:tcW w:w="4389"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Eaton</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 xml:space="preserve">Model </w:t>
            </w:r>
          </w:p>
        </w:tc>
        <w:tc>
          <w:tcPr>
            <w:tcW w:w="4389" w:type="dxa"/>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C441</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Operating Voltage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120VAC</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Sensing Capabilities</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b w:val="1"/>
                <w:color w:val="000000"/>
              </w:rPr>
            </w:pPr>
            <w:r>
              <w:rPr>
                <w:rFonts w:ascii="Calibri" w:hAnsi="Calibri"/>
                <w:color w:val="000000"/>
              </w:rPr>
              <w:t>Voltage/current/ground fault</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Communication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Ethernet/IP (C441R)</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Operator Interface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rPr>
              <w:t>Yes (</w:t>
            </w:r>
            <w:r>
              <w:rPr>
                <w:rFonts w:ascii="Calibri" w:hAnsi="Calibri"/>
                <w:color w:val="000000"/>
              </w:rPr>
              <w:t>C4411 + cable)</w:t>
            </w:r>
          </w:p>
        </w:tc>
      </w:tr>
      <w:tr>
        <w:trPr>
          <w:trHeight w:hRule="atLeast" w:val="288"/>
        </w:trPr>
        <w:tc>
          <w:tcPr>
            <w:tcW w:w="4389"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 xml:space="preserve">I/O Digital Expansion Module </w:t>
            </w:r>
          </w:p>
        </w:tc>
        <w:tc>
          <w:tcPr>
            <w:tcW w:w="4389"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4in/2out (C441R)</w:t>
            </w:r>
          </w:p>
        </w:tc>
      </w:tr>
    </w:tbl>
    <w:p>
      <w:pPr>
        <w:pStyle w:val="P14"/>
        <w:spacing w:before="80" w:after="0" w:beforeAutospacing="0" w:afterAutospacing="0"/>
        <w:ind w:firstLine="144" w:left="1296"/>
        <w:rPr>
          <w:rFonts w:ascii="Calibri" w:hAnsi="Calibri"/>
          <w:sz w:val="22"/>
        </w:rPr>
      </w:pPr>
      <w:bookmarkEnd w:id="0"/>
      <w:r>
        <w:rPr>
          <w:rFonts w:ascii="Calibri" w:hAnsi="Calibri"/>
          <w:sz w:val="22"/>
        </w:rPr>
        <w:t>Third Named Manufacturer:</w:t>
      </w:r>
    </w:p>
    <w:tbl>
      <w:tblPr>
        <w:tblW w:w="8778" w:type="dxa"/>
        <w:tblInd w:w="1462"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atLeast" w:val="288"/>
        </w:trPr>
        <w:tc>
          <w:tcPr>
            <w:tcW w:w="4389"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Manufacturer</w:t>
            </w:r>
          </w:p>
        </w:tc>
        <w:tc>
          <w:tcPr>
            <w:tcW w:w="4389"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ABB</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 xml:space="preserve">Model </w:t>
            </w:r>
          </w:p>
        </w:tc>
        <w:tc>
          <w:tcPr>
            <w:tcW w:w="4389" w:type="dxa"/>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UMC100.3</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Operating Voltage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120VAC</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Sensing Capabilities</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b w:val="1"/>
                <w:color w:val="000000"/>
              </w:rPr>
            </w:pPr>
            <w:r>
              <w:rPr>
                <w:rFonts w:ascii="Calibri" w:hAnsi="Calibri"/>
                <w:color w:val="000000"/>
              </w:rPr>
              <w:t>Voltage/current/ground fault</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Communication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Ethernet/IP (EIU32.0)</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Operator Interface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rPr>
              <w:t>Yes (</w:t>
            </w:r>
            <w:r>
              <w:rPr>
                <w:rFonts w:ascii="Calibri" w:hAnsi="Calibri"/>
                <w:color w:val="000000"/>
              </w:rPr>
              <w:t>UMC100-PAN + cable)</w:t>
            </w:r>
          </w:p>
        </w:tc>
      </w:tr>
      <w:tr>
        <w:trPr>
          <w:trHeight w:hRule="atLeast" w:val="288"/>
        </w:trPr>
        <w:tc>
          <w:tcPr>
            <w:tcW w:w="4389"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 xml:space="preserve">I/O Digital Expansion Module </w:t>
            </w:r>
          </w:p>
        </w:tc>
        <w:tc>
          <w:tcPr>
            <w:tcW w:w="4389"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6in/4out (UMC100.3) + 8in/4out (DX1XX)</w:t>
            </w:r>
          </w:p>
        </w:tc>
      </w:tr>
    </w:tbl>
    <w:p>
      <w:pPr>
        <w:pStyle w:val="P14"/>
        <w:spacing w:before="80" w:after="0" w:beforeAutospacing="0" w:afterAutospacing="0"/>
      </w:pPr>
    </w:p>
    <w:p>
      <w:pPr>
        <w:pStyle w:val="P14"/>
        <w:spacing w:before="80" w:after="0" w:beforeAutospacing="0" w:afterAutospacing="0"/>
      </w:pPr>
    </w:p>
    <w:p>
      <w:pPr>
        <w:pStyle w:val="P2"/>
      </w:pPr>
      <w:r>
        <w:br w:type="page"/>
        <w:t>Wiring</w:t>
      </w:r>
    </w:p>
    <w:p>
      <w:pPr>
        <w:pStyle w:val="P3"/>
      </w:pPr>
      <w:r>
        <w:t xml:space="preserve">Unless otherwise specified, minimum sized starter power wiring shall be #12 AWG copper.  Refer to Section – 16120 Wiring Systems for conductor and other wiring requirements.  For larger than EEMAC Size 1, size conductors in accordance with the Canadian Electrical Code requirements.</w:t>
      </w:r>
    </w:p>
    <w:p>
      <w:pPr>
        <w:pStyle w:val="P3"/>
      </w:pPr>
      <w:r>
        <w:t>All wiring shall be marked at both ends.</w:t>
      </w:r>
    </w:p>
    <w:p>
      <w:pPr>
        <w:pStyle w:val="P2"/>
      </w:pPr>
      <w:r>
        <w:t>Finishes</w:t>
      </w:r>
    </w:p>
    <w:p>
      <w:pPr>
        <w:pStyle w:val="P3"/>
      </w:pPr>
      <w:r>
        <w:t>Apply finishes to enclosure in accordance with Section 16010 – Electrical General Requirements</w:t>
      </w:r>
    </w:p>
    <w:p>
      <w:pPr>
        <w:pStyle w:val="P2"/>
      </w:pPr>
      <w:r>
        <w:t>Equipment Identification</w:t>
      </w:r>
    </w:p>
    <w:p>
      <w:pPr>
        <w:pStyle w:val="P3"/>
      </w:pPr>
      <w:r>
        <w:t>Provide equipment identification in accordance with Section 16010 – Electrical General Requirements.</w:t>
      </w:r>
    </w:p>
    <w:p>
      <w:pPr>
        <w:pStyle w:val="P3"/>
      </w:pPr>
      <w:r>
        <w:t>Provide nameplates indicating system voltage, current, phases and interrupting capacity.</w:t>
      </w:r>
    </w:p>
    <w:p>
      <w:pPr>
        <w:pStyle w:val="P3"/>
      </w:pPr>
      <w:r>
        <w:t xml:space="preserve">Warning nameplates:  Lamacoid, 5 mm white lettering on red background, indicating</w:t>
      </w:r>
    </w:p>
    <w:p>
      <w:pPr>
        <w:pStyle w:val="P4"/>
      </w:pPr>
      <w:r>
        <w:t xml:space="preserve">Presence of live circuit.  </w:t>
      </w:r>
    </w:p>
    <w:p>
      <w:pPr>
        <w:pStyle w:val="P4"/>
      </w:pPr>
      <w:r>
        <w:t>Disconnect power before opening.</w:t>
      </w:r>
    </w:p>
    <w:p>
      <w:pPr>
        <w:pStyle w:val="P4"/>
      </w:pPr>
      <w:r>
        <w:t>All other warning nameplates as necessary to ensure safe operation.</w:t>
      </w:r>
    </w:p>
    <w:p>
      <w:pPr>
        <w:pStyle w:val="P3"/>
      </w:pPr>
      <w:r>
        <w:t>Mount on access doors and internal compartment doors or barriers.</w:t>
      </w:r>
    </w:p>
    <w:p>
      <w:pPr>
        <w:pStyle w:val="P2"/>
      </w:pPr>
      <w:r>
        <w:t>Spare Parts</w:t>
      </w:r>
    </w:p>
    <w:p>
      <w:pPr>
        <w:pStyle w:val="P3"/>
        <w:numPr>
          <w:ilvl w:val="2"/>
          <w:numId w:val="29"/>
        </w:numPr>
      </w:pPr>
      <w:r>
        <w:t>Provide the listed spare parts for each different size and type of starter:</w:t>
      </w:r>
    </w:p>
    <w:p>
      <w:pPr>
        <w:pStyle w:val="P4"/>
      </w:pPr>
      <w:r>
        <w:t>2 contacts, stationary.</w:t>
      </w:r>
    </w:p>
    <w:p>
      <w:pPr>
        <w:pStyle w:val="P4"/>
      </w:pPr>
      <w:r>
        <w:t>2 contacts, movable.</w:t>
      </w:r>
    </w:p>
    <w:p>
      <w:pPr>
        <w:pStyle w:val="P4"/>
      </w:pPr>
      <w:r>
        <w:t>1 contacts, auxiliary.</w:t>
      </w:r>
    </w:p>
    <w:p>
      <w:pPr>
        <w:pStyle w:val="P4"/>
      </w:pPr>
      <w:r>
        <w:t>1 control transformer.</w:t>
      </w:r>
    </w:p>
    <w:p>
      <w:pPr>
        <w:pStyle w:val="P4"/>
      </w:pPr>
      <w:r>
        <w:t>1 operating coil.</w:t>
      </w:r>
    </w:p>
    <w:p>
      <w:pPr>
        <w:pStyle w:val="P4"/>
      </w:pPr>
      <w:r>
        <w:t>2 fuses.</w:t>
      </w:r>
    </w:p>
    <w:p>
      <w:pPr>
        <w:pStyle w:val="P4"/>
      </w:pPr>
      <w:r>
        <w:t>4 indicating lamps.</w:t>
      </w:r>
    </w:p>
    <w:p>
      <w:pPr>
        <w:pStyle w:val="P1"/>
      </w:pPr>
      <w:r>
        <w:t>EXECUTION</w:t>
      </w:r>
    </w:p>
    <w:p>
      <w:pPr>
        <w:pStyle w:val="P2"/>
      </w:pPr>
      <w:r>
        <w:t>Installation</w:t>
      </w:r>
    </w:p>
    <w:p>
      <w:pPr>
        <w:pStyle w:val="P3"/>
      </w:pPr>
      <w:r>
        <w:t>The following installation requirements are in addition to or deviations from the requirements set forth for instrumentation in Section 16010 – Electrical General Requirements.</w:t>
      </w:r>
    </w:p>
    <w:p>
      <w:pPr>
        <w:pStyle w:val="P3"/>
      </w:pPr>
      <w:r>
        <w:t>Installation shall be in compliance with all manufacturer requirements, instructions and drawings.</w:t>
      </w:r>
    </w:p>
    <w:p>
      <w:pPr>
        <w:pStyle w:val="P3"/>
      </w:pPr>
      <w:r>
        <w:t>Ensure correct fuses and overload devices elements are installed.</w:t>
      </w:r>
    </w:p>
    <w:p>
      <w:pPr>
        <w:pStyle w:val="P3"/>
      </w:pPr>
      <w:r>
        <w:t>The Contractor under the technical direction of the manufacturer’s service representative shall perform the following minimum work.</w:t>
      </w:r>
    </w:p>
    <w:p>
      <w:pPr>
        <w:pStyle w:val="P4"/>
      </w:pPr>
      <w:r>
        <w:t>Inspection and final adjustments.</w:t>
      </w:r>
    </w:p>
    <w:p>
      <w:pPr>
        <w:pStyle w:val="P4"/>
      </w:pPr>
      <w:r>
        <w:t>Operational and functional checks of starter and spare parts.</w:t>
      </w:r>
    </w:p>
    <w:p>
      <w:pPr>
        <w:pStyle w:val="P3"/>
      </w:pPr>
      <w:r>
        <w:t>The contractor shall certify that he has read the RVSS’s manufacturer’s installation instructions and has installed the RVSS in accordance with those instructions.</w:t>
      </w:r>
    </w:p>
    <w:p>
      <w:pPr>
        <w:pStyle w:val="P3"/>
      </w:pPr>
      <w:r>
        <w:t xml:space="preserve">Refer to </w:t>
      </w:r>
      <w:r>
        <w:rPr>
          <w:highlight w:val="yellow"/>
        </w:rPr>
        <w:t>Section 406193</w:t>
      </w:r>
      <w:r>
        <w:t xml:space="preserve"> and contract drawings for I/O allocation and configuration.</w:t>
      </w:r>
    </w:p>
    <w:p>
      <w:pPr>
        <w:pStyle w:val="P3"/>
      </w:pPr>
      <w:r>
        <w:t>Control schematics to be provided in accordance with the Region of York standards. Provide CAD and PDF versions in electronic format. Files in PDF format shall be combined into a single package.</w:t>
      </w:r>
    </w:p>
    <w:p>
      <w:pPr>
        <w:pStyle w:val="P3"/>
      </w:pPr>
      <w:r>
        <w:t xml:space="preserve">Control devices mounted on panel door shall such as push-buttons, selector switches, pilot lights shall be according to the Region of York standards. Refer to Division 16 specifications for more details.   </w:t>
      </w:r>
    </w:p>
    <w:p>
      <w:pPr>
        <w:pStyle w:val="P2"/>
        <w:numPr>
          <w:ilvl w:val="1"/>
          <w:numId w:val="1"/>
        </w:numPr>
        <w:spacing w:before="80" w:after="0" w:beforeAutospacing="0" w:afterAutospacing="0"/>
      </w:pPr>
      <w:bookmarkStart w:id="1" w:name="_Hlk530468075"/>
      <w:r>
        <w:t>Start-up</w:t>
      </w:r>
    </w:p>
    <w:p>
      <w:pPr>
        <w:pStyle w:val="P3"/>
      </w:pPr>
      <w:r>
        <w:t xml:space="preserve">Upon completion of onsite installation, Vendor shall conduct their own functional tests and assist in functional tests for integration into overall SCADA system with the Region’s SCADA System Integrator to comply with </w:t>
      </w:r>
      <w:r>
        <w:rPr>
          <w:highlight w:val="yellow"/>
        </w:rPr>
        <w:t>Section 406121.30 – Process Control System Site Acceptance Testing</w:t>
      </w:r>
      <w:r>
        <w:t>.</w:t>
      </w:r>
    </w:p>
    <w:p>
      <w:pPr>
        <w:pStyle w:val="P3"/>
      </w:pPr>
      <w:r>
        <w:t xml:space="preserve">Contractor shall retain the services of a qualified manufacturer's employed Field Service Technician to assist the Contractor in installation and start-up of the equipment specified under this section.  Field Service personnel shall be factory trained with periodic updates and have experience with the same model of Starter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Starter operation. The Technician are required to assist in the below during start-up to allow for PAC and/or SCADA System Integration;</w:t>
      </w:r>
    </w:p>
    <w:p>
      <w:pPr>
        <w:pStyle w:val="P4"/>
      </w:pPr>
      <w:r>
        <w:t>Configure communications module.</w:t>
      </w:r>
    </w:p>
    <w:p>
      <w:pPr>
        <w:pStyle w:val="P4"/>
      </w:pPr>
      <w:r>
        <w:t>Confirmation that all discrete and analog signals (both new and existing) to be transmitted to and from the units are available and functioning correctly.</w:t>
      </w:r>
    </w:p>
    <w:p>
      <w:pPr>
        <w:pStyle w:val="P4"/>
      </w:pPr>
      <w:r>
        <w:t>Verification that the units are capable of working as specified.</w:t>
      </w:r>
    </w:p>
    <w:p>
      <w:pPr>
        <w:pStyle w:val="P4"/>
      </w:pPr>
      <w:r>
        <w:t xml:space="preserve">The Contractor is to conduct their own I/O check and equipment verification.  Contractor completed and signed off I/O Checksheets and equipment verification sheets are to be completed and submitted to the Consultant for review.</w:t>
      </w:r>
    </w:p>
    <w:p>
      <w:pPr>
        <w:pStyle w:val="P4"/>
      </w:pPr>
      <w:r>
        <w:t>Assist SCADA System Integration to complete I/O check to verify field wiring from field device to Starter I/O to the PAC.</w:t>
      </w:r>
    </w:p>
    <w:p>
      <w:pPr>
        <w:pStyle w:val="P4"/>
      </w:pPr>
      <w:r>
        <w:t>Verification that all interlocks are functioning as intended and in the correct mode of operation.</w:t>
      </w:r>
    </w:p>
    <w:p>
      <w:pPr>
        <w:pStyle w:val="P4"/>
      </w:pPr>
      <w:r>
        <w:t>The equipment testing is to be conducted / witnessed by the facility Start Up Team consisting of the Consultant, the Contractor’s System Integrator, Region PCS Group and Region Operations Group and instrument suppliers as required.</w:t>
      </w:r>
    </w:p>
    <w:p>
      <w:pPr>
        <w:pStyle w:val="P4"/>
      </w:pPr>
      <w:r>
        <w:t>Electronic copies of all parameter settings for each drive to be provided.</w:t>
      </w:r>
    </w:p>
    <w:p>
      <w:pPr>
        <w:pStyle w:val="P2"/>
      </w:pPr>
      <w:bookmarkEnd w:id="1"/>
      <w:r>
        <w:t>Starter Verification</w:t>
      </w:r>
    </w:p>
    <w:p>
      <w:pPr>
        <w:pStyle w:val="P3"/>
      </w:pPr>
      <w:r>
        <w:t>Conduct manufacturer's recommended tests and start-up procedures.</w:t>
      </w:r>
    </w:p>
    <w:p>
      <w:pPr>
        <w:pStyle w:val="P3"/>
      </w:pPr>
      <w:r>
        <w:t xml:space="preserve">IP assignments shall be provided by the Consultant (as obtained from the Region) and must be coordinated in accordance with the requirements of </w:t>
      </w:r>
      <w:r>
        <w:rPr>
          <w:highlight w:val="yellow"/>
        </w:rPr>
        <w:t>Division 40</w:t>
      </w:r>
      <w:r>
        <w:t xml:space="preserve">. </w:t>
      </w:r>
    </w:p>
    <w:p>
      <w:pPr>
        <w:pStyle w:val="P3"/>
      </w:pPr>
      <w:r>
        <w:t>Field check supplied prior to commissioning equipment. As a minimum, the start-up service shall include:</w:t>
      </w:r>
    </w:p>
    <w:p>
      <w:pPr>
        <w:pStyle w:val="P4"/>
      </w:pPr>
      <w:r>
        <w:t>Check of control circuits</w:t>
      </w:r>
    </w:p>
    <w:p>
      <w:pPr>
        <w:pStyle w:val="P4"/>
      </w:pPr>
      <w:r>
        <w:t>Ensure all connections are tight</w:t>
      </w:r>
    </w:p>
    <w:p>
      <w:pPr>
        <w:pStyle w:val="P4"/>
      </w:pPr>
      <w:r>
        <w:t>Perform pre-Power Check</w:t>
      </w:r>
    </w:p>
    <w:p>
      <w:pPr>
        <w:pStyle w:val="P4"/>
      </w:pPr>
      <w:r>
        <w:t>Megger Motor Resistances: Phase-to-Phase and Phase-to-Ground</w:t>
      </w:r>
    </w:p>
    <w:p>
      <w:pPr>
        <w:pStyle w:val="P4"/>
      </w:pPr>
      <w:r>
        <w:t>Verify system grounding per manufacturer’s specifications</w:t>
      </w:r>
    </w:p>
    <w:p>
      <w:pPr>
        <w:pStyle w:val="P4"/>
      </w:pPr>
      <w:r>
        <w:t>Verify power and signal grounds</w:t>
      </w:r>
    </w:p>
    <w:p>
      <w:pPr>
        <w:pStyle w:val="P4"/>
      </w:pPr>
      <w:r>
        <w:t>Check connections</w:t>
      </w:r>
    </w:p>
    <w:p>
      <w:pPr>
        <w:pStyle w:val="P4"/>
      </w:pPr>
      <w:r>
        <w:t>Verify NEMA rating and construction of panel is suitable for the environment (check temperature, humidity, dust, etc. of installation location)</w:t>
      </w:r>
    </w:p>
    <w:p>
      <w:pPr>
        <w:pStyle w:val="P3"/>
      </w:pPr>
      <w:r>
        <w:t>Power-up and commissioning checks:</w:t>
      </w:r>
    </w:p>
    <w:p>
      <w:pPr>
        <w:pStyle w:val="P4"/>
      </w:pPr>
      <w:r>
        <w:t>Measure Incoming Power Phase-to-Phase and Phase-to-Ground</w:t>
      </w:r>
    </w:p>
    <w:p>
      <w:pPr>
        <w:pStyle w:val="P4"/>
      </w:pPr>
      <w:r>
        <w:t>Measure AC Current Unloaded and Loaded</w:t>
      </w:r>
    </w:p>
    <w:p>
      <w:pPr>
        <w:pStyle w:val="P4"/>
      </w:pPr>
      <w:r>
        <w:t>Measure Output Voltage Phase-to-Phase and Phase-to-Ground</w:t>
      </w:r>
    </w:p>
    <w:p>
      <w:pPr>
        <w:pStyle w:val="P4"/>
      </w:pPr>
      <w:r>
        <w:t>Verify correct overload operation.</w:t>
      </w:r>
    </w:p>
    <w:p>
      <w:pPr>
        <w:pStyle w:val="P4"/>
      </w:pPr>
      <w:r>
        <w:t xml:space="preserve">Verify overload readings with a separate measurement device </w:t>
      </w:r>
      <w:r>
        <w:rPr>
          <w:b w:val="1"/>
          <w:highlight w:val="yellow"/>
        </w:rPr>
        <w:t>[For Intelligent IOR option]</w:t>
      </w:r>
    </w:p>
    <w:p>
      <w:pPr>
        <w:pStyle w:val="P4"/>
      </w:pPr>
      <w:r>
        <w:t xml:space="preserve">IR Scan under load.  Perform thermograms at all connections, plus heat sinks, body, etc.  Record ambient temperature and temperature rise above ambient.  Compare information will every other subsequent inspection.  Compare with the specifications for maximum temperature above ambient and maximum operating temperature.</w:t>
      </w:r>
    </w:p>
    <w:p>
      <w:pPr>
        <w:pStyle w:val="P3"/>
      </w:pPr>
      <w:r>
        <w:t>All measurements shall be recorded.</w:t>
      </w:r>
    </w:p>
    <w:p>
      <w:pPr>
        <w:pStyle w:val="P3"/>
      </w:pPr>
      <w:r>
        <w:t>For intelligent overload relays parameter listing shall be provided in printed and electronic copy in PDF format. IOR configuration shall include functionality to upload the parameter file to the IOR and HIM. After commissioning, upload parameter listing into IOR and HIM.</w:t>
      </w:r>
    </w:p>
    <w:p>
      <w:pPr>
        <w:pStyle w:val="P3"/>
      </w:pPr>
      <w:r>
        <w:t>Measure and record motor amps, under load conditions and compare with full load amps and motor service factor. Report any excessive readings and unbalance. Measure voltage as close to motor terminals as possible while motor is running.</w:t>
      </w:r>
    </w:p>
    <w:p>
      <w:pPr>
        <w:pStyle w:val="P3"/>
      </w:pPr>
      <w:r>
        <w:t>Set all motor circuit protectors to the minimum level which will consistently allow the motor to start under normal starting conditions.</w:t>
      </w:r>
    </w:p>
    <w:p>
      <w:pPr>
        <w:pStyle w:val="P2"/>
      </w:pPr>
      <w:r>
        <w:t>Field Quality Control</w:t>
      </w:r>
    </w:p>
    <w:p>
      <w:pPr>
        <w:pStyle w:val="P3"/>
      </w:pPr>
      <w:r>
        <w:t xml:space="preserve">The Contractor shall ensure that the starter supplier will provide the services of a factory representative on Site for the purpose of start-up, tuning, calibration and commissioning.  Refer to </w:t>
      </w:r>
      <w:r>
        <w:rPr>
          <w:highlight w:val="yellow"/>
        </w:rPr>
        <w:t>Section 01810 – Equipment Testing and Facility Commissioning.</w:t>
      </w:r>
    </w:p>
    <w:p>
      <w:pPr>
        <w:pStyle w:val="P3"/>
      </w:pPr>
      <w:r>
        <w:t>Operate switches, contactors to verify correct functioning.</w:t>
      </w:r>
    </w:p>
    <w:p>
      <w:pPr>
        <w:pStyle w:val="P3"/>
      </w:pPr>
      <w:r>
        <w:t>Perform starting and stopping sequences of contactors and relays.</w:t>
      </w:r>
    </w:p>
    <w:p>
      <w:pPr>
        <w:pStyle w:val="P3"/>
      </w:pPr>
      <w:r>
        <w:t>Check that sequence controls, interlocking with other separate related starters, equipment, control devices, operate as indicated.</w:t>
      </w:r>
    </w:p>
    <w:p>
      <w:pPr>
        <w:pStyle w:val="P2"/>
        <w:spacing w:before="80" w:after="0" w:beforeAutospacing="0" w:afterAutospacing="0"/>
      </w:pPr>
      <w:r>
        <w:t>Training</w:t>
      </w:r>
    </w:p>
    <w:p>
      <w:pPr>
        <w:pStyle w:val="P3"/>
      </w:pPr>
      <w:r>
        <w:t xml:space="preserve">Provision shall be made for a period of demonstration and training as specified in </w:t>
      </w:r>
      <w:r>
        <w:rPr>
          <w:highlight w:val="yellow"/>
        </w:rPr>
        <w:t>Section 01820 – Demonstration and Training.</w:t>
      </w:r>
    </w:p>
    <w:p>
      <w:pPr>
        <w:pStyle w:val="P3"/>
      </w:pPr>
      <w:r>
        <w:t>Train the Region’s staff in aspects of starter operation, maintenance and start-up procedures.</w:t>
      </w:r>
    </w:p>
    <w:p>
      <w:pPr>
        <w:pStyle w:val="P4"/>
      </w:pPr>
      <w:r>
        <w:t>Training to include two (2) sessions of four (4) hours duration and to be completed by manufacturer's representative.</w:t>
      </w:r>
    </w:p>
    <w:p>
      <w:pPr>
        <w:pStyle w:val="P4"/>
      </w:pPr>
      <w:r>
        <w:t>Training program to include operation, troubleshooting and maintenance.</w:t>
      </w:r>
    </w:p>
    <w:p>
      <w:pPr>
        <w:pStyle w:val="P25"/>
        <w:suppressAutoHyphens w:val="0"/>
        <w:spacing w:before="80" w:beforeAutospacing="0" w:afterAutospacing="0"/>
        <w:rPr>
          <w:rFonts w:ascii="Calibri" w:hAnsi="Calibri"/>
          <w:b w:val="1"/>
          <w:caps w:val="1"/>
          <w:lang w:val="en-US"/>
        </w:rPr>
      </w:pPr>
      <w:r>
        <w:rPr>
          <w:rFonts w:ascii="Calibri" w:hAnsi="Calibri"/>
          <w:b w:val="1"/>
          <w:caps w:val="1"/>
          <w:lang w:val="en-US"/>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907" w:header="706" w:footer="706" w:gutter="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16xxx</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MOTOR STARTERS UP TO 600 V</w:t>
    </w:r>
    <w:r>
      <w:rPr>
        <w:rFonts w:ascii="Calibri" w:hAnsi="Calibri"/>
      </w:rPr>
      <w:tab/>
      <w:t>2017-05-26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Bdr>
        <w:top w:val="none" w:sz="0" w:space="0" w:shadow="0" w:frame="0"/>
        <w:left w:val="none" w:sz="0" w:space="0" w:shadow="0" w:frame="0"/>
        <w:bottom w:val="single" w:sz="6" w:space="1" w:shadow="0" w:frame="0"/>
        <w:right w:val="none" w:sz="0" w:space="0" w:shadow="0" w:frame="0"/>
      </w:pBdr>
      <w:spacing w:after="240" w:beforeAutospacing="0" w:afterAutospacing="0"/>
      <w:jc w:val="right"/>
      <w:rPr>
        <w:rFonts w:ascii="Arial Narrow" w:hAnsi="Arial Narrow"/>
        <w:caps w:val="1"/>
        <w:sz w:val="14"/>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Body)" w:hAnsi="Calibri (Body)"/>
        <w:sz w:val="22"/>
      </w:rPr>
      <w:t>CONTRACT NO. SSTR4559</w:t>
      <w:tab/>
      <w:t>Section 16223</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MOTOR STARTERS UP TO 600V</w:t>
    </w:r>
    <w:r>
      <w:rPr>
        <w:rFonts w:ascii="Calibri (Body)" w:hAnsi="Calibri (Body)"/>
        <w:sz w:val="22"/>
      </w:rPr>
      <w:tab/>
      <w:t>2021-11-30</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Bdr>
        <w:top w:val="none" w:sz="0" w:space="0" w:shadow="0" w:frame="0"/>
        <w:left w:val="none" w:sz="0" w:space="0" w:shadow="0" w:frame="0"/>
        <w:bottom w:val="single" w:sz="6" w:space="1" w:shadow="0" w:frame="0"/>
        <w:right w:val="none" w:sz="0" w:space="0" w:shadow="0" w:frame="0"/>
      </w:pBdr>
      <w:spacing w:after="240" w:beforeAutospacing="0" w:afterAutospacing="0"/>
      <w:rPr>
        <w:rFonts w:ascii="Arial Narrow" w:hAnsi="Arial Narrow"/>
        <w:caps w:val="1"/>
        <w:sz w:val="14"/>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350" w:leader="none"/>
      </w:tabs>
      <w:rPr>
        <w:rFonts w:ascii="Calibri" w:hAnsi="Calibri"/>
      </w:rPr>
    </w:pPr>
    <w:r>
      <w:rPr>
        <w:rFonts w:ascii="Calibri (Body)" w:hAnsi="Calibri (Body)"/>
        <w:sz w:val="22"/>
      </w:rPr>
      <w:t>Section 16223</w:t>
      <w:tab/>
      <w:t>CONTRACT NO. SSTR4559</w:t>
      <w:tab/>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2021-11-30</w:t>
    </w:r>
    <w:r>
      <w:rPr>
        <w:rFonts w:ascii="Calibri (Body)" w:hAnsi="Calibri (Body)"/>
        <w:b w:val="1"/>
        <w:sz w:val="22"/>
      </w:rPr>
      <w:tab/>
      <w:t>MOTOR STARTERS UP TO 600V</w:t>
    </w:r>
    <w:r>
      <w:rPr>
        <w:rFonts w:ascii="Calibri (Body)" w:hAnsi="Calibri (Body)"/>
        <w:sz w:val="22"/>
      </w:rPr>
      <w:tab/>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jc w:val="left"/>
      <w:rPr>
        <w:rFonts w:ascii="Calibri" w:hAnsi="Calibri"/>
        <w:highlight w:val="yellow"/>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rPr>
        <w:rFonts w:ascii="Arial Narrow" w:hAnsi="Arial Narrow"/>
        <w:sz w:val="12"/>
        <w:highlight w:val="yellow"/>
      </w:rPr>
    </w:pPr>
  </w:p>
  <w:p/>
</w:hdr>
</file>

<file path=word/numbering.xml><?xml version="1.0" encoding="utf-8"?>
<w:numbering xmlns:w="http://schemas.openxmlformats.org/wordprocessingml/2006/main">
  <w:abstractNum w:abstractNumId="0">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5BEE3E81">
      <w:start w:val="1"/>
      <w:numFmt w:val="decimal"/>
      <w:suff w:val="tab"/>
      <w:lvlText w:val="%1."/>
      <w:lvlJc w:val="left"/>
      <w:pPr/>
      <w:rPr/>
    </w:lvl>
    <w:lvl w:ilvl="2" w:tplc="26B03A66">
      <w:start w:val="1"/>
      <w:numFmt w:val="decimal"/>
      <w:suff w:val="tab"/>
      <w:lvlText w:val="%1."/>
      <w:lvlJc w:val="left"/>
      <w:pPr/>
      <w:rPr/>
    </w:lvl>
    <w:lvl w:ilvl="3" w:tplc="1BEB14D0">
      <w:start w:val="1"/>
      <w:numFmt w:val="decimal"/>
      <w:suff w:val="tab"/>
      <w:lvlText w:val="%1."/>
      <w:lvlJc w:val="left"/>
      <w:pPr/>
      <w:rPr/>
    </w:lvl>
    <w:lvl w:ilvl="4" w:tplc="49784A8B">
      <w:start w:val="1"/>
      <w:numFmt w:val="decimal"/>
      <w:suff w:val="tab"/>
      <w:lvlText w:val="%1."/>
      <w:lvlJc w:val="left"/>
      <w:pPr/>
      <w:rPr/>
    </w:lvl>
    <w:lvl w:ilvl="5" w:tplc="2A12250C">
      <w:start w:val="1"/>
      <w:numFmt w:val="decimal"/>
      <w:suff w:val="tab"/>
      <w:lvlText w:val="%1."/>
      <w:lvlJc w:val="left"/>
      <w:pPr/>
      <w:rPr/>
    </w:lvl>
    <w:lvl w:ilvl="6" w:tplc="386DDCB9">
      <w:start w:val="1"/>
      <w:numFmt w:val="decimal"/>
      <w:suff w:val="tab"/>
      <w:lvlText w:val="%1."/>
      <w:lvlJc w:val="left"/>
      <w:pPr/>
      <w:rPr/>
    </w:lvl>
    <w:lvl w:ilvl="7" w:tplc="1DA5D10A">
      <w:start w:val="1"/>
      <w:numFmt w:val="decimal"/>
      <w:suff w:val="tab"/>
      <w:lvlText w:val="%1."/>
      <w:lvlJc w:val="left"/>
      <w:pPr/>
      <w:rPr/>
    </w:lvl>
    <w:lvl w:ilvl="8" w:tplc="6D27806A">
      <w:start w:val="1"/>
      <w:numFmt w:val="decimal"/>
      <w:suff w:val="tab"/>
      <w:lvlText w:val="%1."/>
      <w:lvlJc w:val="left"/>
      <w:pPr/>
      <w:rPr/>
    </w:lvl>
  </w:abstractNum>
  <w:abstractNum w:abstractNumId="1">
    <w:nsid w:val="0808543A"/>
    <w:multiLevelType w:val="multilevel"/>
    <w:lvl w:ilvl="0">
      <w:start w:val="8"/>
      <w:numFmt w:val="upperLetter"/>
      <w:suff w:val="tab"/>
      <w:lvlText w:val="%1."/>
      <w:lvlJc w:val="left"/>
      <w:pPr>
        <w:ind w:firstLine="0" w:left="0"/>
        <w:tabs>
          <w:tab w:val="left" w:pos="360" w:leader="none"/>
        </w:tabs>
      </w:pPr>
      <w:rPr/>
    </w:lvl>
    <w:lvl w:ilvl="1">
      <w:start w:val="1"/>
      <w:numFmt w:val="decimal"/>
      <w:pStyle w:val="P69"/>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2">
    <w:nsid w:val="0A394DEF"/>
    <w:multiLevelType w:val="multilevel"/>
    <w:lvl w:ilvl="0">
      <w:start w:val="10"/>
      <w:numFmt w:val="upperLetter"/>
      <w:suff w:val="tab"/>
      <w:lvlText w:val="%1."/>
      <w:lvlJc w:val="left"/>
      <w:pPr>
        <w:ind w:firstLine="0" w:left="0"/>
        <w:tabs>
          <w:tab w:val="left" w:pos="360" w:leader="none"/>
        </w:tabs>
      </w:pPr>
      <w:rPr/>
    </w:lvl>
    <w:lvl w:ilvl="1">
      <w:start w:val="1"/>
      <w:numFmt w:val="decimal"/>
      <w:pStyle w:val="P71"/>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3">
    <w:nsid w:val="15E94416"/>
    <w:multiLevelType w:val="multilevel"/>
    <w:lvl w:ilvl="0">
      <w:start w:val="1"/>
      <w:numFmt w:val="upperLetter"/>
      <w:pStyle w:val="P77"/>
      <w:suff w:val="tab"/>
      <w:lvlText w:val="%1."/>
      <w:lvlJc w:val="left"/>
      <w:pPr>
        <w:ind w:hanging="900" w:left="900"/>
        <w:tabs>
          <w:tab w:val="left" w:pos="900" w:leader="none"/>
        </w:tabs>
      </w:pPr>
      <w:rPr>
        <w:rFonts w:ascii="Times" w:hAnsi="Times"/>
      </w:rPr>
    </w:lvl>
    <w:lvl w:ilvl="1">
      <w:start w:val="1"/>
      <w:numFmt w:val="decimal"/>
      <w:suff w:val="tab"/>
      <w:lvlText w:val="%1.%2"/>
      <w:lvlJc w:val="left"/>
      <w:pPr>
        <w:ind w:hanging="720" w:left="720"/>
        <w:tabs>
          <w:tab w:val="left" w:pos="720" w:leader="none"/>
        </w:tabs>
      </w:pPr>
      <w:rPr/>
    </w:lvl>
    <w:lvl w:ilvl="2">
      <w:start w:val="1"/>
      <w:numFmt w:val="upperLetter"/>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decimal"/>
      <w:suff w:val="tab"/>
      <w:lvlText w:val="%6)"/>
      <w:lvlJc w:val="left"/>
      <w:pPr>
        <w:ind w:hanging="360" w:left="2160"/>
        <w:tabs>
          <w:tab w:val="left" w:pos="216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4">
    <w:nsid w:val="191F7658"/>
    <w:multiLevelType w:val="multilevel"/>
    <w:lvl w:ilvl="0">
      <w:start w:val="6"/>
      <w:numFmt w:val="upperLetter"/>
      <w:suff w:val="tab"/>
      <w:lvlText w:val="%1."/>
      <w:lvlJc w:val="left"/>
      <w:pPr>
        <w:ind w:firstLine="0" w:left="0"/>
        <w:tabs>
          <w:tab w:val="left" w:pos="360" w:leader="none"/>
        </w:tabs>
      </w:pPr>
      <w:rPr/>
    </w:lvl>
    <w:lvl w:ilvl="1">
      <w:start w:val="1"/>
      <w:numFmt w:val="decimal"/>
      <w:pStyle w:val="P67"/>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5">
    <w:nsid w:val="1F874319"/>
    <w:multiLevelType w:val="multilevel"/>
    <w:lvl w:ilvl="0">
      <w:start w:val="9"/>
      <w:numFmt w:val="upperLetter"/>
      <w:suff w:val="tab"/>
      <w:lvlText w:val="%1."/>
      <w:lvlJc w:val="left"/>
      <w:pPr>
        <w:ind w:firstLine="0" w:left="0"/>
        <w:tabs>
          <w:tab w:val="left" w:pos="360" w:leader="none"/>
        </w:tabs>
      </w:pPr>
      <w:rPr/>
    </w:lvl>
    <w:lvl w:ilvl="1">
      <w:start w:val="1"/>
      <w:numFmt w:val="decimal"/>
      <w:pStyle w:val="P70"/>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6">
    <w:nsid w:val="25E16ABA"/>
    <w:multiLevelType w:val="multilevel"/>
    <w:lvl w:ilvl="0">
      <w:start w:val="1"/>
      <w:numFmt w:val="decimal"/>
      <w:suff w:val="tab"/>
      <w:lvlText w:val="%1"/>
      <w:lvlJc w:val="left"/>
      <w:pPr>
        <w:ind w:hanging="1440" w:left="1440"/>
        <w:tabs>
          <w:tab w:val="left" w:pos="1440" w:leader="none"/>
        </w:tabs>
      </w:pPr>
      <w:rPr>
        <w:rFonts w:ascii="Arial Bold" w:hAnsi="Arial Bold"/>
        <w:b w:val="1"/>
        <w:i w:val="0"/>
        <w:sz w:val="24"/>
      </w:rPr>
    </w:lvl>
    <w:lvl w:ilvl="1">
      <w:start w:val="1"/>
      <w:numFmt w:val="decimal"/>
      <w:suff w:val="tab"/>
      <w:lvlText w:val="%1.%2"/>
      <w:lvlJc w:val="left"/>
      <w:pPr>
        <w:ind w:hanging="1440" w:left="1440"/>
        <w:tabs>
          <w:tab w:val="left" w:pos="1440" w:leader="none"/>
        </w:tabs>
      </w:pPr>
      <w:rPr>
        <w:rFonts w:ascii="Arial" w:hAnsi="Arial"/>
        <w:b w:val="0"/>
        <w:i w:val="0"/>
        <w:sz w:val="20"/>
      </w:rPr>
    </w:lvl>
    <w:lvl w:ilvl="2">
      <w:start w:val="1"/>
      <w:numFmt w:val="decimal"/>
      <w:pStyle w:val="P74"/>
      <w:suff w:val="tab"/>
      <w:lvlText w:val=".%3"/>
      <w:lvlJc w:val="left"/>
      <w:pPr>
        <w:ind w:hanging="720" w:left="1571"/>
        <w:tabs>
          <w:tab w:val="left" w:pos="1571" w:leader="none"/>
        </w:tabs>
      </w:pPr>
      <w:rPr>
        <w:rFonts w:ascii="Arial" w:hAnsi="Arial"/>
        <w:b w:val="0"/>
        <w:i w:val="0"/>
        <w:strike w:val="0"/>
        <w:sz w:val="20"/>
      </w:rPr>
    </w:lvl>
    <w:lvl w:ilvl="3">
      <w:start w:val="1"/>
      <w:numFmt w:val="decimal"/>
      <w:pStyle w:val="P75"/>
      <w:suff w:val="tab"/>
      <w:lvlText w:val=".%4"/>
      <w:lvlJc w:val="left"/>
      <w:pPr>
        <w:ind w:hanging="720" w:left="2160"/>
        <w:tabs>
          <w:tab w:val="left" w:pos="2160" w:leader="none"/>
        </w:tabs>
      </w:pPr>
      <w:rPr>
        <w:rFonts w:ascii="Arial" w:hAnsi="Arial"/>
        <w:b w:val="0"/>
        <w:i w:val="0"/>
        <w:sz w:val="20"/>
      </w:rPr>
    </w:lvl>
    <w:lvl w:ilvl="4">
      <w:start w:val="1"/>
      <w:numFmt w:val="decimal"/>
      <w:pStyle w:val="P76"/>
      <w:isLgl w:val="1"/>
      <w:suff w:val="tab"/>
      <w:lvlText w:val=".%5"/>
      <w:lvlJc w:val="left"/>
      <w:pPr>
        <w:ind w:hanging="720" w:left="2880"/>
        <w:tabs>
          <w:tab w:val="left" w:pos="2880" w:leader="none"/>
        </w:tabs>
      </w:pPr>
      <w:rPr>
        <w:rFonts w:ascii="Arial" w:hAnsi="Arial"/>
        <w:b w:val="0"/>
        <w:i w:val="0"/>
        <w:sz w:val="20"/>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AD7578"/>
    <w:multiLevelType w:val="multilevel"/>
    <w:lvl w:ilvl="0">
      <w:start w:val="2"/>
      <w:numFmt w:val="upperLetter"/>
      <w:suff w:val="tab"/>
      <w:lvlText w:val="%1."/>
      <w:lvlJc w:val="left"/>
      <w:pPr>
        <w:ind w:firstLine="0" w:left="0"/>
        <w:tabs>
          <w:tab w:val="left" w:pos="360" w:leader="none"/>
        </w:tabs>
      </w:pPr>
      <w:rPr/>
    </w:lvl>
    <w:lvl w:ilvl="1">
      <w:start w:val="1"/>
      <w:numFmt w:val="decimal"/>
      <w:pStyle w:val="P61"/>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8">
    <w:nsid w:val="2D3637DD"/>
    <w:multiLevelType w:val="multilevel"/>
    <w:lvl w:ilvl="0">
      <w:start w:val="1"/>
      <w:numFmt w:val="upperLetter"/>
      <w:suff w:val="tab"/>
      <w:lvlText w:val="%1."/>
      <w:lvlJc w:val="left"/>
      <w:pPr>
        <w:ind w:firstLine="0" w:left="0"/>
        <w:tabs>
          <w:tab w:val="left" w:pos="360" w:leader="none"/>
        </w:tabs>
      </w:pPr>
      <w:rPr/>
    </w:lvl>
    <w:lvl w:ilvl="1">
      <w:start w:val="1"/>
      <w:numFmt w:val="decimal"/>
      <w:suff w:val="tab"/>
      <w:lvlText w:val="A.%2."/>
      <w:lvlJc w:val="left"/>
      <w:pPr>
        <w:ind w:hanging="720" w:left="720"/>
        <w:tabs>
          <w:tab w:val="left" w:pos="720" w:leader="none"/>
        </w:tabs>
      </w:pPr>
      <w:rPr/>
    </w:lvl>
    <w:lvl w:ilvl="2">
      <w:start w:val="1"/>
      <w:numFmt w:val="decimal"/>
      <w:pStyle w:val="P6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9">
    <w:nsid w:val="4118042D"/>
    <w:multiLevelType w:val="hybridMultilevel"/>
    <w:lvl w:ilvl="0" w:tplc="04090001">
      <w:start w:val="1"/>
      <w:numFmt w:val="bullet"/>
      <w:suff w:val="tab"/>
      <w:lvlText w:val=""/>
      <w:lvlJc w:val="left"/>
      <w:pPr>
        <w:ind w:hanging="360" w:left="1701"/>
      </w:pPr>
      <w:rPr>
        <w:rFonts w:ascii="Symbol" w:hAnsi="Symbol"/>
      </w:rPr>
    </w:lvl>
    <w:lvl w:ilvl="1" w:tplc="04090003">
      <w:start w:val="1"/>
      <w:numFmt w:val="bullet"/>
      <w:suff w:val="tab"/>
      <w:lvlText w:val="o"/>
      <w:lvlJc w:val="left"/>
      <w:pPr>
        <w:ind w:hanging="360" w:left="2421"/>
      </w:pPr>
      <w:rPr>
        <w:rFonts w:ascii="Courier New" w:hAnsi="Courier New"/>
      </w:rPr>
    </w:lvl>
    <w:lvl w:ilvl="2" w:tplc="04090005">
      <w:start w:val="1"/>
      <w:numFmt w:val="bullet"/>
      <w:suff w:val="tab"/>
      <w:lvlText w:val=""/>
      <w:lvlJc w:val="left"/>
      <w:pPr>
        <w:ind w:hanging="360" w:left="3141"/>
      </w:pPr>
      <w:rPr>
        <w:rFonts w:ascii="Wingdings" w:hAnsi="Wingdings"/>
      </w:rPr>
    </w:lvl>
    <w:lvl w:ilvl="3" w:tplc="04090001">
      <w:start w:val="1"/>
      <w:numFmt w:val="bullet"/>
      <w:suff w:val="tab"/>
      <w:lvlText w:val=""/>
      <w:lvlJc w:val="left"/>
      <w:pPr>
        <w:ind w:hanging="360" w:left="3861"/>
      </w:pPr>
      <w:rPr>
        <w:rFonts w:ascii="Symbol" w:hAnsi="Symbol"/>
      </w:rPr>
    </w:lvl>
    <w:lvl w:ilvl="4" w:tplc="04090003">
      <w:start w:val="1"/>
      <w:numFmt w:val="bullet"/>
      <w:suff w:val="tab"/>
      <w:lvlText w:val="o"/>
      <w:lvlJc w:val="left"/>
      <w:pPr>
        <w:ind w:hanging="360" w:left="4581"/>
      </w:pPr>
      <w:rPr>
        <w:rFonts w:ascii="Courier New" w:hAnsi="Courier New"/>
      </w:rPr>
    </w:lvl>
    <w:lvl w:ilvl="5" w:tplc="04090005">
      <w:start w:val="1"/>
      <w:numFmt w:val="bullet"/>
      <w:suff w:val="tab"/>
      <w:lvlText w:val=""/>
      <w:lvlJc w:val="left"/>
      <w:pPr>
        <w:ind w:hanging="360" w:left="5301"/>
      </w:pPr>
      <w:rPr>
        <w:rFonts w:ascii="Wingdings" w:hAnsi="Wingdings"/>
      </w:rPr>
    </w:lvl>
    <w:lvl w:ilvl="6" w:tplc="04090001">
      <w:start w:val="1"/>
      <w:numFmt w:val="bullet"/>
      <w:suff w:val="tab"/>
      <w:lvlText w:val=""/>
      <w:lvlJc w:val="left"/>
      <w:pPr>
        <w:ind w:hanging="360" w:left="6021"/>
      </w:pPr>
      <w:rPr>
        <w:rFonts w:ascii="Symbol" w:hAnsi="Symbol"/>
      </w:rPr>
    </w:lvl>
    <w:lvl w:ilvl="7" w:tplc="04090003">
      <w:start w:val="1"/>
      <w:numFmt w:val="bullet"/>
      <w:suff w:val="tab"/>
      <w:lvlText w:val="o"/>
      <w:lvlJc w:val="left"/>
      <w:pPr>
        <w:ind w:hanging="360" w:left="6741"/>
      </w:pPr>
      <w:rPr>
        <w:rFonts w:ascii="Courier New" w:hAnsi="Courier New"/>
      </w:rPr>
    </w:lvl>
    <w:lvl w:ilvl="8" w:tplc="04090005">
      <w:start w:val="1"/>
      <w:numFmt w:val="bullet"/>
      <w:suff w:val="tab"/>
      <w:lvlText w:val=""/>
      <w:lvlJc w:val="left"/>
      <w:pPr>
        <w:ind w:hanging="360" w:left="7461"/>
      </w:pPr>
      <w:rPr>
        <w:rFonts w:ascii="Wingdings" w:hAnsi="Wingdings"/>
      </w:rPr>
    </w:lvl>
  </w:abstractNum>
  <w:abstractNum w:abstractNumId="10">
    <w:nsid w:val="431B1595"/>
    <w:multiLevelType w:val="multilevel"/>
    <w:lvl w:ilvl="0">
      <w:start w:val="7"/>
      <w:numFmt w:val="upperLetter"/>
      <w:suff w:val="tab"/>
      <w:lvlText w:val="%1."/>
      <w:lvlJc w:val="left"/>
      <w:pPr>
        <w:ind w:firstLine="0" w:left="0"/>
        <w:tabs>
          <w:tab w:val="left" w:pos="360" w:leader="none"/>
        </w:tabs>
      </w:pPr>
      <w:rPr/>
    </w:lvl>
    <w:lvl w:ilvl="1">
      <w:start w:val="1"/>
      <w:numFmt w:val="decimal"/>
      <w:pStyle w:val="P68"/>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11">
    <w:nsid w:val="455353C9"/>
    <w:multiLevelType w:val="multilevel"/>
    <w:lvl w:ilvl="0">
      <w:start w:val="1"/>
      <w:numFmt w:val="decimal"/>
      <w:suff w:val="tab"/>
      <w:lvlText w:val="PART %1"/>
      <w:lvlJc w:val="left"/>
      <w:pPr>
        <w:ind w:hanging="1152" w:left="1152"/>
        <w:tabs>
          <w:tab w:val="left" w:pos="1152" w:leader="none"/>
        </w:tabs>
      </w:pPr>
      <w:rPr/>
    </w:lvl>
    <w:lvl w:ilvl="1">
      <w:start w:val="1"/>
      <w:numFmt w:val="decimal"/>
      <w:suff w:val="tab"/>
      <w:lvlText w:val="%1.%2"/>
      <w:lvlJc w:val="left"/>
      <w:pPr>
        <w:ind w:hanging="720" w:left="720"/>
        <w:tabs>
          <w:tab w:val="left" w:pos="720" w:leader="none"/>
        </w:tabs>
      </w:pPr>
      <w:rPr>
        <w:rFonts w:ascii="Gill Sans MT" w:hAnsi="Gill Sans MT"/>
        <w:b w:val="0"/>
        <w:i w:val="0"/>
        <w:caps w:val="0"/>
        <w:strike w:val="0"/>
        <w:noProof w:val="0"/>
        <w:vanish w:val="0"/>
        <w:u w:val="none"/>
        <w:vertAlign w:val="baseline"/>
      </w:rPr>
    </w:lvl>
    <w:lvl w:ilvl="2">
      <w:start w:val="1"/>
      <w:numFmt w:val="decimal"/>
      <w:suff w:val="tab"/>
      <w:lvlText w:val=".%3"/>
      <w:lvlJc w:val="left"/>
      <w:pPr>
        <w:ind w:hanging="720" w:left="1440"/>
        <w:tabs>
          <w:tab w:val="left" w:pos="1440" w:leader="none"/>
        </w:tabs>
      </w:pPr>
      <w:rPr>
        <w:b w:val="0"/>
        <w:i w:val="0"/>
        <w:caps w:val="0"/>
        <w:strike w:val="0"/>
        <w:noProof w:val="0"/>
        <w:vanish w:val="0"/>
        <w:u w:val="none"/>
        <w:vertAlign w:val="baseline"/>
      </w:rPr>
    </w:lvl>
    <w:lvl w:ilvl="3">
      <w:start w:val="1"/>
      <w:numFmt w:val="decimal"/>
      <w:suff w:val="tab"/>
      <w:lvlText w:val=".%4"/>
      <w:lvlJc w:val="left"/>
      <w:pPr>
        <w:ind w:hanging="720" w:left="2160"/>
        <w:tabs>
          <w:tab w:val="left" w:pos="2160" w:leader="none"/>
        </w:tabs>
      </w:pPr>
      <w:rPr/>
    </w:lvl>
    <w:lvl w:ilvl="4">
      <w:start w:val="1"/>
      <w:numFmt w:val="decimal"/>
      <w:pStyle w:val="P5"/>
      <w:suff w:val="tab"/>
      <w:lvlText w:val=".%5"/>
      <w:lvlJc w:val="left"/>
      <w:pPr>
        <w:ind w:hanging="720" w:left="2880"/>
        <w:tabs>
          <w:tab w:val="left" w:pos="2880" w:leader="none"/>
        </w:tabs>
      </w:pPr>
      <w:rPr/>
    </w:lvl>
    <w:lvl w:ilvl="5">
      <w:start w:val="1"/>
      <w:numFmt w:val="decimal"/>
      <w:pStyle w:val="P6"/>
      <w:suff w:val="tab"/>
      <w:lvlText w:val=".%6"/>
      <w:lvlJc w:val="left"/>
      <w:pPr>
        <w:ind w:hanging="720" w:left="3600"/>
        <w:tabs>
          <w:tab w:val="left" w:pos="3600" w:leader="none"/>
        </w:tabs>
      </w:pPr>
      <w:rPr/>
    </w:lvl>
    <w:lvl w:ilvl="6">
      <w:start w:val="1"/>
      <w:numFmt w:val="decimal"/>
      <w:pStyle w:val="P7"/>
      <w:suff w:val="tab"/>
      <w:lvlText w:val=".%7"/>
      <w:lvlJc w:val="left"/>
      <w:pPr>
        <w:ind w:hanging="720" w:left="4320"/>
        <w:tabs>
          <w:tab w:val="left" w:pos="4320" w:leader="none"/>
        </w:tabs>
      </w:pPr>
      <w:rPr/>
    </w:lvl>
    <w:lvl w:ilvl="7">
      <w:start w:val="1"/>
      <w:numFmt w:val="decimal"/>
      <w:pStyle w:val="P8"/>
      <w:suff w:val="tab"/>
      <w:lvlText w:val=".%8"/>
      <w:lvlJc w:val="left"/>
      <w:pPr>
        <w:ind w:hanging="720" w:left="5040"/>
        <w:tabs>
          <w:tab w:val="left" w:pos="5040" w:leader="none"/>
        </w:tabs>
      </w:pPr>
      <w:rPr/>
    </w:lvl>
    <w:lvl w:ilvl="8">
      <w:start w:val="1"/>
      <w:numFmt w:val="decimal"/>
      <w:pStyle w:val="P9"/>
      <w:suff w:val="tab"/>
      <w:lvlText w:val=".%9"/>
      <w:lvlJc w:val="left"/>
      <w:pPr>
        <w:ind w:hanging="720" w:left="5760"/>
        <w:tabs>
          <w:tab w:val="left" w:pos="5760" w:leader="none"/>
        </w:tabs>
      </w:pPr>
      <w:rPr/>
    </w:lvl>
  </w:abstractNum>
  <w:abstractNum w:abstractNumId="12">
    <w:nsid w:val="50407D28"/>
    <w:multiLevelType w:val="multilevel"/>
    <w:lvl w:ilvl="0">
      <w:start w:val="1"/>
      <w:numFmt w:val="decimal"/>
      <w:pStyle w:val="P1"/>
      <w:suff w:val="tab"/>
      <w:lvlText w:val="PART %1."/>
      <w:lvlJc w:val="left"/>
      <w:pPr>
        <w:ind w:hanging="432" w:left="1142"/>
        <w:tabs>
          <w:tab w:val="left" w:pos="114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1980"/>
        <w:tabs>
          <w:tab w:val="left" w:pos="-1980" w:leader="none"/>
        </w:tabs>
      </w:pPr>
      <w:rPr>
        <w:rFonts w:ascii="Calibri" w:hAnsi="Calibri"/>
        <w:color w:val="000000"/>
        <w:sz w:val="22"/>
      </w:rPr>
    </w:lvl>
    <w:lvl w:ilvl="3">
      <w:start w:val="1"/>
      <w:numFmt w:val="decimal"/>
      <w:pStyle w:val="P4"/>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1C82E4B"/>
    <w:multiLevelType w:val="multilevel"/>
    <w:lvl w:ilvl="0">
      <w:start w:val="3"/>
      <w:numFmt w:val="upperLetter"/>
      <w:pStyle w:val="P58"/>
      <w:suff w:val="tab"/>
      <w:lvlText w:val="%1.0"/>
      <w:lvlJc w:val="left"/>
      <w:pPr>
        <w:ind w:firstLine="0" w:left="0"/>
        <w:tabs>
          <w:tab w:val="left" w:pos="720" w:leader="none"/>
        </w:tabs>
      </w:pPr>
      <w:rPr/>
    </w:lvl>
    <w:lvl w:ilvl="1">
      <w:start w:val="1"/>
      <w:numFmt w:val="decimal"/>
      <w:pStyle w:val="P66"/>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decimal"/>
      <w:suff w:val="tab"/>
      <w:lvlText w:val="%1.%2.%3.%4.%5.%6"/>
      <w:lvlJc w:val="left"/>
      <w:pPr>
        <w:ind w:firstLine="0" w:left="3600"/>
        <w:tabs>
          <w:tab w:val="left" w:pos="504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14">
    <w:nsid w:val="532B619F"/>
    <w:multiLevelType w:val="hybridMultilevel"/>
    <w:lvl w:ilvl="0" w:tplc="BD3ADD90">
      <w:start w:val="1"/>
      <w:numFmt w:val="decimal"/>
      <w:pStyle w:val="P41"/>
      <w:suff w:val="tab"/>
      <w:lvlText w:val=".%1"/>
      <w:lvlJc w:val="left"/>
      <w:pPr>
        <w:ind w:hanging="360" w:left="3960"/>
        <w:tabs>
          <w:tab w:val="left" w:pos="2520" w:leader="none"/>
        </w:tabs>
      </w:pPr>
      <w:rPr/>
    </w:lvl>
    <w:lvl w:ilvl="1" w:tplc="78FE3428">
      <w:start w:val="1"/>
      <w:numFmt w:val="bullet"/>
      <w:suff w:val="tab"/>
      <w:lvlText w:val="o"/>
      <w:lvlJc w:val="left"/>
      <w:pPr>
        <w:ind w:hanging="360" w:left="4680"/>
        <w:tabs>
          <w:tab w:val="left" w:pos="4680" w:leader="none"/>
        </w:tabs>
      </w:pPr>
      <w:rPr>
        <w:rFonts w:ascii="Courier New" w:hAnsi="Courier New"/>
      </w:rPr>
    </w:lvl>
    <w:lvl w:ilvl="2" w:tplc="38AC7824">
      <w:start w:val="1"/>
      <w:numFmt w:val="bullet"/>
      <w:suff w:val="tab"/>
      <w:lvlText w:val=""/>
      <w:lvlJc w:val="left"/>
      <w:pPr>
        <w:ind w:hanging="360" w:left="5400"/>
        <w:tabs>
          <w:tab w:val="left" w:pos="5400" w:leader="none"/>
        </w:tabs>
      </w:pPr>
      <w:rPr>
        <w:rFonts w:ascii="Wingdings" w:hAnsi="Wingdings"/>
      </w:rPr>
    </w:lvl>
    <w:lvl w:ilvl="3" w:tplc="89F4F79A">
      <w:start w:val="1"/>
      <w:numFmt w:val="bullet"/>
      <w:suff w:val="tab"/>
      <w:lvlText w:val=""/>
      <w:lvlJc w:val="left"/>
      <w:pPr>
        <w:ind w:hanging="360" w:left="6120"/>
        <w:tabs>
          <w:tab w:val="left" w:pos="6120" w:leader="none"/>
        </w:tabs>
      </w:pPr>
      <w:rPr>
        <w:rFonts w:ascii="Symbol" w:hAnsi="Symbol"/>
      </w:rPr>
    </w:lvl>
    <w:lvl w:ilvl="4" w:tplc="9938643E">
      <w:start w:val="1"/>
      <w:numFmt w:val="bullet"/>
      <w:suff w:val="tab"/>
      <w:lvlText w:val="o"/>
      <w:lvlJc w:val="left"/>
      <w:pPr>
        <w:ind w:hanging="360" w:left="6840"/>
        <w:tabs>
          <w:tab w:val="left" w:pos="6840" w:leader="none"/>
        </w:tabs>
      </w:pPr>
      <w:rPr>
        <w:rFonts w:ascii="Courier New" w:hAnsi="Courier New"/>
      </w:rPr>
    </w:lvl>
    <w:lvl w:ilvl="5" w:tplc="3A28975E">
      <w:start w:val="1"/>
      <w:numFmt w:val="bullet"/>
      <w:suff w:val="tab"/>
      <w:lvlText w:val=""/>
      <w:lvlJc w:val="left"/>
      <w:pPr>
        <w:ind w:hanging="360" w:left="7560"/>
        <w:tabs>
          <w:tab w:val="left" w:pos="7560" w:leader="none"/>
        </w:tabs>
      </w:pPr>
      <w:rPr>
        <w:rFonts w:ascii="Wingdings" w:hAnsi="Wingdings"/>
      </w:rPr>
    </w:lvl>
    <w:lvl w:ilvl="6" w:tplc="919CB97E">
      <w:start w:val="1"/>
      <w:numFmt w:val="bullet"/>
      <w:suff w:val="tab"/>
      <w:lvlText w:val=""/>
      <w:lvlJc w:val="left"/>
      <w:pPr>
        <w:ind w:hanging="360" w:left="8280"/>
        <w:tabs>
          <w:tab w:val="left" w:pos="8280" w:leader="none"/>
        </w:tabs>
      </w:pPr>
      <w:rPr>
        <w:rFonts w:ascii="Symbol" w:hAnsi="Symbol"/>
      </w:rPr>
    </w:lvl>
    <w:lvl w:ilvl="7" w:tplc="CAA47756">
      <w:start w:val="1"/>
      <w:numFmt w:val="bullet"/>
      <w:suff w:val="tab"/>
      <w:lvlText w:val="o"/>
      <w:lvlJc w:val="left"/>
      <w:pPr>
        <w:ind w:hanging="360" w:left="9000"/>
        <w:tabs>
          <w:tab w:val="left" w:pos="9000" w:leader="none"/>
        </w:tabs>
      </w:pPr>
      <w:rPr>
        <w:rFonts w:ascii="Courier New" w:hAnsi="Courier New"/>
      </w:rPr>
    </w:lvl>
    <w:lvl w:ilvl="8" w:tplc="9E3E1966">
      <w:start w:val="1"/>
      <w:numFmt w:val="bullet"/>
      <w:suff w:val="tab"/>
      <w:lvlText w:val=""/>
      <w:lvlJc w:val="left"/>
      <w:pPr>
        <w:ind w:hanging="360" w:left="9720"/>
        <w:tabs>
          <w:tab w:val="left" w:pos="9720" w:leader="none"/>
        </w:tabs>
      </w:pPr>
      <w:rPr>
        <w:rFonts w:ascii="Wingdings" w:hAnsi="Wingdings"/>
      </w:rPr>
    </w:lvl>
  </w:abstractNum>
  <w:abstractNum w:abstractNumId="15">
    <w:nsid w:val="770E37A7"/>
    <w:multiLevelType w:val="hybridMultilevel"/>
    <w:lvl w:ilvl="0" w:tplc="04090001">
      <w:start w:val="1"/>
      <w:numFmt w:val="bullet"/>
      <w:suff w:val="tab"/>
      <w:lvlText w:val=""/>
      <w:lvlJc w:val="left"/>
      <w:pPr>
        <w:ind w:hanging="360" w:left="1701"/>
      </w:pPr>
      <w:rPr>
        <w:rFonts w:ascii="Symbol" w:hAnsi="Symbol"/>
      </w:rPr>
    </w:lvl>
    <w:lvl w:ilvl="1" w:tplc="04090003">
      <w:start w:val="1"/>
      <w:numFmt w:val="bullet"/>
      <w:suff w:val="tab"/>
      <w:lvlText w:val="o"/>
      <w:lvlJc w:val="left"/>
      <w:pPr>
        <w:ind w:hanging="360" w:left="2421"/>
      </w:pPr>
      <w:rPr>
        <w:rFonts w:ascii="Courier New" w:hAnsi="Courier New"/>
      </w:rPr>
    </w:lvl>
    <w:lvl w:ilvl="2" w:tplc="04090005">
      <w:start w:val="1"/>
      <w:numFmt w:val="bullet"/>
      <w:suff w:val="tab"/>
      <w:lvlText w:val=""/>
      <w:lvlJc w:val="left"/>
      <w:pPr>
        <w:ind w:hanging="360" w:left="3141"/>
      </w:pPr>
      <w:rPr>
        <w:rFonts w:ascii="Wingdings" w:hAnsi="Wingdings"/>
      </w:rPr>
    </w:lvl>
    <w:lvl w:ilvl="3" w:tplc="04090001">
      <w:start w:val="1"/>
      <w:numFmt w:val="bullet"/>
      <w:suff w:val="tab"/>
      <w:lvlText w:val=""/>
      <w:lvlJc w:val="left"/>
      <w:pPr>
        <w:ind w:hanging="360" w:left="3861"/>
      </w:pPr>
      <w:rPr>
        <w:rFonts w:ascii="Symbol" w:hAnsi="Symbol"/>
      </w:rPr>
    </w:lvl>
    <w:lvl w:ilvl="4" w:tplc="04090003">
      <w:start w:val="1"/>
      <w:numFmt w:val="bullet"/>
      <w:suff w:val="tab"/>
      <w:lvlText w:val="o"/>
      <w:lvlJc w:val="left"/>
      <w:pPr>
        <w:ind w:hanging="360" w:left="4581"/>
      </w:pPr>
      <w:rPr>
        <w:rFonts w:ascii="Courier New" w:hAnsi="Courier New"/>
      </w:rPr>
    </w:lvl>
    <w:lvl w:ilvl="5" w:tplc="04090005">
      <w:start w:val="1"/>
      <w:numFmt w:val="bullet"/>
      <w:suff w:val="tab"/>
      <w:lvlText w:val=""/>
      <w:lvlJc w:val="left"/>
      <w:pPr>
        <w:ind w:hanging="360" w:left="5301"/>
      </w:pPr>
      <w:rPr>
        <w:rFonts w:ascii="Wingdings" w:hAnsi="Wingdings"/>
      </w:rPr>
    </w:lvl>
    <w:lvl w:ilvl="6" w:tplc="04090001">
      <w:start w:val="1"/>
      <w:numFmt w:val="bullet"/>
      <w:suff w:val="tab"/>
      <w:lvlText w:val=""/>
      <w:lvlJc w:val="left"/>
      <w:pPr>
        <w:ind w:hanging="360" w:left="6021"/>
      </w:pPr>
      <w:rPr>
        <w:rFonts w:ascii="Symbol" w:hAnsi="Symbol"/>
      </w:rPr>
    </w:lvl>
    <w:lvl w:ilvl="7" w:tplc="04090003">
      <w:start w:val="1"/>
      <w:numFmt w:val="bullet"/>
      <w:suff w:val="tab"/>
      <w:lvlText w:val="o"/>
      <w:lvlJc w:val="left"/>
      <w:pPr>
        <w:ind w:hanging="360" w:left="6741"/>
      </w:pPr>
      <w:rPr>
        <w:rFonts w:ascii="Courier New" w:hAnsi="Courier New"/>
      </w:rPr>
    </w:lvl>
    <w:lvl w:ilvl="8" w:tplc="04090005">
      <w:start w:val="1"/>
      <w:numFmt w:val="bullet"/>
      <w:suff w:val="tab"/>
      <w:lvlText w:val=""/>
      <w:lvlJc w:val="left"/>
      <w:pPr>
        <w:ind w:hanging="360" w:left="7461"/>
      </w:pPr>
      <w:rPr>
        <w:rFonts w:ascii="Wingdings" w:hAnsi="Wingdings"/>
      </w:rPr>
    </w:lvl>
  </w:abstractNum>
  <w:num w:numId="1">
    <w:abstractNumId w:val="12"/>
  </w:num>
  <w:num w:numId="2">
    <w:abstractNumId w:val="14"/>
  </w:num>
  <w:num w:numId="3">
    <w:abstractNumId w:val="12"/>
    <w:lvlOverride w:ilvl="0">
      <w:startOverride w:val="1"/>
    </w:lvlOverride>
    <w:lvlOverride w:ilvl="1">
      <w:startOverride w:val="3"/>
    </w:lvlOverride>
    <w:lvlOverride w:ilvl="2">
      <w:startOverride w:val="10"/>
    </w:lvlOverride>
    <w:lvlOverride w:ilvl="3">
      <w:startOverride w:val="1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4"/>
    </w:lvlOverride>
    <w:lvlOverride w:ilvl="2">
      <w:startOverride w:val="1"/>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5"/>
    </w:lvlOverride>
    <w:lvlOverride w:ilvl="2">
      <w:startOverride w:val="1"/>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5"/>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5"/>
    </w:lvlOverride>
    <w:lvlOverride w:ilvl="2">
      <w:startOverride w:val="14"/>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5"/>
  </w:num>
  <w:num w:numId="12">
    <w:abstractNumId w:val="11"/>
  </w:num>
  <w:num w:numId="13">
    <w:abstractNumId w:val="8"/>
  </w:num>
  <w:num w:numId="14">
    <w:abstractNumId w:val="7"/>
  </w:num>
  <w:num w:numId="15">
    <w:abstractNumId w:val="13"/>
  </w:num>
  <w:num w:numId="16">
    <w:abstractNumId w:val="4"/>
  </w:num>
  <w:num w:numId="17">
    <w:abstractNumId w:val="10"/>
  </w:num>
  <w:num w:numId="18">
    <w:abstractNumId w:val="1"/>
  </w:num>
  <w:num w:numId="19">
    <w:abstractNumId w:val="5"/>
  </w:num>
  <w:num w:numId="20">
    <w:abstractNumId w:val="2"/>
  </w:num>
  <w:num w:numId="21">
    <w:abstractNumId w:val="6"/>
  </w:num>
  <w:num w:numId="22">
    <w:abstractNumId w:val="3"/>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2"/>
  </w:num>
  <w:num w:numId="28">
    <w:abstractNumId w:val="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2"/>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b w:val="0"/>
          <w:i w:val="0"/>
          <w:caps w:val="0"/>
          <w:strike w:val="0"/>
          <w:noProof w:val="0"/>
          <w:vanish w:val="0"/>
          <w:u w:val="none"/>
          <w:vertAlign w:val="baseline"/>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32">
    <w:abstractNumId w:val="12"/>
  </w:num>
  <w:num w:numId="33">
    <w:abstractNumId w:val="12"/>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0"/>
    <w:next w:val="P2"/>
    <w:link w:val="C11"/>
    <w:qFormat/>
    <w:pPr>
      <w:keepNext w:val="1"/>
      <w:numPr>
        <w:numId w:val="1"/>
      </w:numPr>
      <w:tabs>
        <w:tab w:val="left" w:pos="432" w:leader="none"/>
        <w:tab w:val="clear" w:pos="1142" w:leader="none"/>
      </w:tabs>
      <w:spacing w:before="160" w:beforeAutospacing="0" w:afterAutospacing="0"/>
      <w:ind w:left="432"/>
      <w:outlineLvl w:val="0"/>
    </w:pPr>
    <w:rPr>
      <w:rFonts w:ascii="Calibri" w:hAnsi="Calibri"/>
      <w:caps w:val="1"/>
      <w:u w:val="single"/>
    </w:rPr>
  </w:style>
  <w:style w:type="paragraph" w:styleId="P2">
    <w:name w:val="heading 2"/>
    <w:basedOn w:val="P0"/>
    <w:next w:val="P3"/>
    <w:link w:val="C12"/>
    <w:qFormat/>
    <w:pPr>
      <w:keepNext w:val="1"/>
      <w:keepLines w:val="1"/>
      <w:numPr>
        <w:ilvl w:val="1"/>
        <w:numId w:val="31"/>
      </w:numPr>
      <w:spacing w:before="160" w:after="160" w:beforeAutospacing="0" w:afterAutospacing="0"/>
      <w:outlineLvl w:val="1"/>
    </w:pPr>
    <w:rPr>
      <w:rFonts w:ascii="Calibri" w:hAnsi="Calibri"/>
      <w:u w:val="single"/>
    </w:rPr>
  </w:style>
  <w:style w:type="paragraph" w:styleId="P3">
    <w:name w:val="heading 3"/>
    <w:basedOn w:val="P0"/>
    <w:link w:val="C16"/>
    <w:qFormat/>
    <w:pPr>
      <w:numPr>
        <w:ilvl w:val="2"/>
        <w:numId w:val="31"/>
      </w:numPr>
      <w:spacing w:before="80" w:beforeAutospacing="0" w:afterAutospacing="0"/>
      <w:outlineLvl w:val="2"/>
    </w:pPr>
    <w:rPr>
      <w:rFonts w:ascii="Calibri" w:hAnsi="Calibri"/>
    </w:rPr>
  </w:style>
  <w:style w:type="paragraph" w:styleId="P4">
    <w:name w:val="heading 4"/>
    <w:basedOn w:val="P0"/>
    <w:link w:val="C17"/>
    <w:qFormat/>
    <w:pPr>
      <w:numPr>
        <w:ilvl w:val="3"/>
        <w:numId w:val="31"/>
      </w:numPr>
      <w:tabs>
        <w:tab w:val="left" w:pos="2250" w:leader="none"/>
        <w:tab w:val="left" w:pos="6543" w:leader="none"/>
        <w:tab w:val="left" w:pos="6660" w:leader="none"/>
      </w:tabs>
      <w:outlineLvl w:val="3"/>
    </w:pPr>
    <w:rPr>
      <w:rFonts w:ascii="Calibri" w:hAnsi="Calibri"/>
    </w:rPr>
  </w:style>
  <w:style w:type="paragraph" w:styleId="P5">
    <w:name w:val="heading 5"/>
    <w:basedOn w:val="P0"/>
    <w:link w:val="C18"/>
    <w:qFormat/>
    <w:pPr>
      <w:numPr>
        <w:ilvl w:val="4"/>
        <w:numId w:val="12"/>
      </w:numPr>
      <w:outlineLvl w:val="4"/>
    </w:pPr>
    <w:rPr>
      <w:rFonts w:ascii="Calibri" w:hAnsi="Calibri"/>
    </w:rPr>
  </w:style>
  <w:style w:type="paragraph" w:styleId="P6">
    <w:name w:val="heading 6"/>
    <w:basedOn w:val="P0"/>
    <w:link w:val="C19"/>
    <w:qFormat/>
    <w:pPr>
      <w:numPr>
        <w:ilvl w:val="5"/>
        <w:numId w:val="12"/>
      </w:numPr>
      <w:spacing w:after="240" w:beforeAutospacing="0" w:afterAutospacing="0"/>
      <w:outlineLvl w:val="5"/>
    </w:pPr>
    <w:rPr>
      <w:rFonts w:ascii="Times New Roman" w:hAnsi="Times New Roman"/>
      <w:sz w:val="24"/>
    </w:rPr>
  </w:style>
  <w:style w:type="paragraph" w:styleId="P7">
    <w:name w:val="heading 7"/>
    <w:basedOn w:val="P0"/>
    <w:link w:val="C20"/>
    <w:qFormat/>
    <w:pPr>
      <w:numPr>
        <w:ilvl w:val="6"/>
        <w:numId w:val="12"/>
      </w:numPr>
      <w:spacing w:after="240" w:beforeAutospacing="0" w:afterAutospacing="0"/>
      <w:outlineLvl w:val="6"/>
    </w:pPr>
    <w:rPr>
      <w:rFonts w:ascii="Times New Roman" w:hAnsi="Times New Roman"/>
      <w:sz w:val="24"/>
    </w:rPr>
  </w:style>
  <w:style w:type="paragraph" w:styleId="P8">
    <w:name w:val="heading 8"/>
    <w:basedOn w:val="P0"/>
    <w:link w:val="C21"/>
    <w:qFormat/>
    <w:pPr>
      <w:numPr>
        <w:ilvl w:val="7"/>
        <w:numId w:val="12"/>
      </w:numPr>
      <w:spacing w:after="240" w:beforeAutospacing="0" w:afterAutospacing="0"/>
      <w:outlineLvl w:val="7"/>
    </w:pPr>
    <w:rPr>
      <w:rFonts w:ascii="Times New Roman" w:hAnsi="Times New Roman"/>
      <w:sz w:val="24"/>
    </w:rPr>
  </w:style>
  <w:style w:type="paragraph" w:styleId="P9">
    <w:name w:val="heading 9"/>
    <w:basedOn w:val="P0"/>
    <w:link w:val="C22"/>
    <w:qFormat/>
    <w:pPr>
      <w:numPr>
        <w:ilvl w:val="8"/>
        <w:numId w:val="12"/>
      </w:numPr>
      <w:spacing w:after="240" w:beforeAutospacing="0" w:afterAutospacing="0"/>
      <w:outlineLvl w:val="8"/>
    </w:pPr>
    <w:rPr>
      <w:rFonts w:ascii="Times New Roman" w:hAnsi="Times New Roman"/>
      <w:sz w:val="24"/>
    </w:rPr>
  </w:style>
  <w:style w:type="paragraph" w:styleId="P10">
    <w:name w:val="header"/>
    <w:basedOn w:val="P0"/>
    <w:link w:val="C3"/>
    <w:pPr>
      <w:jc w:val="center"/>
    </w:pPr>
    <w:rPr>
      <w:rFonts w:ascii="Times New Roman" w:hAnsi="Times New Roman"/>
      <w:b w:val="1"/>
      <w:sz w:val="24"/>
      <w:lang w:val="en-CA"/>
    </w:rPr>
  </w:style>
  <w:style w:type="paragraph" w:styleId="P11">
    <w:name w:val="footer"/>
    <w:basedOn w:val="P0"/>
    <w:link w:val="C4"/>
    <w:pPr>
      <w:tabs>
        <w:tab w:val="right" w:pos="9360" w:leader="none"/>
      </w:tabs>
    </w:pPr>
    <w:rPr>
      <w:rFonts w:ascii="Times New Roman" w:hAnsi="Times New Roman"/>
      <w:caps w:val="1"/>
      <w:sz w:val="20"/>
      <w:lang w:val="en-CA"/>
    </w:rPr>
  </w:style>
  <w:style w:type="paragraph" w:styleId="P12">
    <w:name w:val="Balloon Text"/>
    <w:basedOn w:val="P0"/>
    <w:link w:val="C5"/>
    <w:pPr/>
    <w:rPr>
      <w:rFonts w:ascii="Tahoma" w:hAnsi="Tahoma"/>
      <w:sz w:val="16"/>
    </w:rPr>
  </w:style>
  <w:style w:type="paragraph" w:styleId="P13">
    <w:name w:val="Block Text"/>
    <w:basedOn w:val="P0"/>
    <w:pPr>
      <w:spacing w:after="120" w:beforeAutospacing="0" w:afterAutospacing="0"/>
      <w:ind w:left="1440" w:right="1440"/>
    </w:pPr>
    <w:rPr/>
  </w:style>
  <w:style w:type="paragraph" w:styleId="P14">
    <w:name w:val="Body Text"/>
    <w:basedOn w:val="P0"/>
    <w:link w:val="C6"/>
    <w:pPr>
      <w:spacing w:after="240" w:beforeAutospacing="0" w:afterAutospacing="0"/>
    </w:pPr>
    <w:rPr>
      <w:rFonts w:ascii="Times New Roman" w:hAnsi="Times New Roman"/>
      <w:sz w:val="24"/>
    </w:rPr>
  </w:style>
  <w:style w:type="paragraph" w:styleId="P15">
    <w:name w:val="Body Text Indent 2"/>
    <w:basedOn w:val="P0"/>
    <w:link w:val="C7"/>
    <w:pPr>
      <w:tabs>
        <w:tab w:val="left" w:pos="720" w:leader="none"/>
        <w:tab w:val="left" w:pos="1440" w:leader="none"/>
      </w:tabs>
      <w:suppressAutoHyphens w:val="1"/>
      <w:ind w:hanging="720" w:left="2160"/>
    </w:pPr>
    <w:rPr>
      <w:rFonts w:ascii="Times New (W1)" w:hAnsi="Times New (W1)"/>
      <w:color w:val="000000"/>
      <w:sz w:val="20"/>
      <w:lang w:val="en-CA" w:eastAsia="en-CA"/>
    </w:rPr>
  </w:style>
  <w:style w:type="paragraph" w:styleId="P16">
    <w:name w:val="Bullet"/>
    <w:basedOn w:val="P14"/>
    <w:next w:val="P14"/>
    <w:pPr/>
    <w:rPr/>
  </w:style>
  <w:style w:type="paragraph" w:styleId="P17">
    <w:name w:val="caption"/>
    <w:basedOn w:val="P20"/>
    <w:next w:val="P0"/>
    <w:qFormat/>
    <w:pPr>
      <w:keepNext w:val="1"/>
      <w:spacing w:after="240" w:beforeAutospacing="0" w:afterAutospacing="0"/>
    </w:pPr>
    <w:rPr>
      <w:b w:val="0"/>
      <w:i w:val="1"/>
      <w:sz w:val="20"/>
    </w:rPr>
  </w:style>
  <w:style w:type="paragraph" w:styleId="P18">
    <w:name w:val="annotation text"/>
    <w:basedOn w:val="P0"/>
    <w:link w:val="C9"/>
    <w:pPr/>
    <w:rPr>
      <w:rFonts w:ascii="Times New Roman" w:hAnsi="Times New Roman"/>
      <w:sz w:val="20"/>
    </w:rPr>
  </w:style>
  <w:style w:type="paragraph" w:styleId="P19">
    <w:name w:val="annotation subject"/>
    <w:basedOn w:val="P18"/>
    <w:next w:val="P18"/>
    <w:link w:val="C10"/>
    <w:pPr/>
    <w:rPr>
      <w:b w:val="1"/>
    </w:rPr>
  </w:style>
  <w:style w:type="paragraph" w:styleId="P20">
    <w:name w:val="Main-Head"/>
    <w:basedOn w:val="P0"/>
    <w:next w:val="P14"/>
    <w:link w:val="C13"/>
    <w:pPr/>
    <w:rPr>
      <w:rFonts w:ascii="Arial Narrow" w:hAnsi="Arial Narrow"/>
      <w:b w:val="1"/>
    </w:rPr>
  </w:style>
  <w:style w:type="paragraph" w:styleId="P21">
    <w:name w:val="Contents"/>
    <w:basedOn w:val="P1"/>
    <w:next w:val="P14"/>
    <w:pPr/>
    <w:rPr/>
  </w:style>
  <w:style w:type="paragraph" w:styleId="P22">
    <w:name w:val="CSA"/>
    <w:basedOn w:val="P14"/>
    <w:next w:val="P1"/>
    <w:pPr>
      <w:keepNext w:val="1"/>
      <w:spacing w:after="0" w:beforeAutospacing="0" w:afterAutospacing="0"/>
    </w:pPr>
    <w:rPr>
      <w:b w:val="1"/>
      <w:caps w:val="1"/>
      <w:sz w:val="20"/>
    </w:rPr>
  </w:style>
  <w:style w:type="paragraph" w:styleId="P23">
    <w:name w:val="Default"/>
    <w:pPr/>
    <w:rPr>
      <w:rFonts w:ascii="Arial" w:hAnsi="Arial"/>
      <w:color w:val="000000"/>
      <w:sz w:val="24"/>
      <w:lang w:val="en-CA"/>
    </w:rPr>
  </w:style>
  <w:style w:type="paragraph" w:styleId="P24">
    <w:name w:val="Divider"/>
    <w:basedOn w:val="P0"/>
    <w:next w:val="P13"/>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25">
    <w:name w:val="End of Section"/>
    <w:basedOn w:val="P0"/>
    <w:pPr>
      <w:suppressAutoHyphens w:val="1"/>
      <w:spacing w:before="240" w:beforeAutospacing="0" w:afterAutospacing="0"/>
      <w:jc w:val="center"/>
    </w:pPr>
    <w:rPr>
      <w:rFonts w:ascii="Times New Roman" w:hAnsi="Times New Roman"/>
      <w:sz w:val="24"/>
      <w:lang w:val="en-CA"/>
    </w:rPr>
  </w:style>
  <w:style w:type="paragraph" w:styleId="P26">
    <w:name w:val="Exhibit--Number"/>
    <w:basedOn w:val="P20"/>
    <w:next w:val="P0"/>
    <w:pPr>
      <w:spacing w:before="160" w:beforeAutospacing="0" w:afterAutospacing="0"/>
    </w:pPr>
    <w:rPr>
      <w:caps w:val="1"/>
      <w:sz w:val="18"/>
    </w:rPr>
  </w:style>
  <w:style w:type="paragraph" w:styleId="P27">
    <w:name w:val="Exhibit--Title"/>
    <w:basedOn w:val="P26"/>
    <w:next w:val="P0"/>
    <w:pPr>
      <w:spacing w:before="0" w:beforeAutospacing="0" w:afterAutospacing="0"/>
    </w:pPr>
    <w:rPr>
      <w:b w:val="0"/>
      <w:caps w:val="0"/>
      <w:sz w:val="20"/>
    </w:rPr>
  </w:style>
  <w:style w:type="paragraph" w:styleId="P28">
    <w:name w:val="Exhibit--Caption"/>
    <w:basedOn w:val="P27"/>
    <w:next w:val="P14"/>
    <w:pPr/>
    <w:rPr>
      <w:i w:val="1"/>
    </w:rPr>
  </w:style>
  <w:style w:type="paragraph" w:styleId="P29">
    <w:name w:val="Flysheet"/>
    <w:basedOn w:val="P0"/>
    <w:pPr>
      <w:jc w:val="right"/>
    </w:pPr>
    <w:rPr>
      <w:rFonts w:ascii="Arial Narrow" w:hAnsi="Arial Narrow"/>
      <w:b w:val="1"/>
      <w:sz w:val="28"/>
    </w:rPr>
  </w:style>
  <w:style w:type="paragraph" w:styleId="P30">
    <w:name w:val="Flysheet Cont"/>
    <w:basedOn w:val="P0"/>
    <w:pPr>
      <w:spacing w:before="9720" w:beforeAutospacing="0" w:afterAutospacing="0"/>
      <w:jc w:val="right"/>
    </w:pPr>
    <w:rPr>
      <w:rFonts w:ascii="Arial Narrow" w:hAnsi="Arial Narrow"/>
      <w:b w:val="1"/>
      <w:sz w:val="28"/>
    </w:rPr>
  </w:style>
  <w:style w:type="paragraph" w:styleId="P31">
    <w:name w:val="Flysheet Title"/>
    <w:basedOn w:val="P0"/>
    <w:pPr>
      <w:spacing w:before="9720" w:beforeAutospacing="0" w:afterAutospacing="0"/>
      <w:jc w:val="right"/>
    </w:pPr>
    <w:rPr>
      <w:rFonts w:ascii="Arial Narrow" w:hAnsi="Arial Narrow"/>
      <w:b w:val="1"/>
      <w:sz w:val="28"/>
    </w:rPr>
  </w:style>
  <w:style w:type="paragraph" w:styleId="P32">
    <w:name w:val="footnote text"/>
    <w:basedOn w:val="P14"/>
    <w:link w:val="C15"/>
    <w:semiHidden/>
    <w:pPr>
      <w:spacing w:after="0" w:beforeAutospacing="0" w:afterAutospacing="0"/>
    </w:pPr>
    <w:rPr>
      <w:rFonts w:ascii="Arial" w:hAnsi="Arial"/>
      <w:sz w:val="16"/>
    </w:rPr>
  </w:style>
  <w:style w:type="paragraph" w:styleId="P33">
    <w:name w:val="List Bullet"/>
    <w:basedOn w:val="P0"/>
    <w:pPr>
      <w:tabs>
        <w:tab w:val="left" w:pos="360" w:leader="none"/>
      </w:tabs>
      <w:spacing w:after="220" w:beforeAutospacing="0" w:afterAutospacing="0"/>
      <w:ind w:hanging="360" w:left="360"/>
      <w:contextualSpacing w:val="1"/>
      <w:jc w:val="both"/>
    </w:pPr>
    <w:rPr>
      <w:rFonts w:ascii="Times New Roman" w:hAnsi="Times New Roman"/>
      <w:sz w:val="24"/>
      <w:lang w:val="en-CA"/>
    </w:rPr>
  </w:style>
  <w:style w:type="paragraph" w:styleId="P34">
    <w:name w:val="Normal Indent"/>
    <w:basedOn w:val="P0"/>
    <w:pPr>
      <w:ind w:left="360"/>
    </w:pPr>
    <w:rPr/>
  </w:style>
  <w:style w:type="paragraph" w:styleId="P35">
    <w:name w:val="Normal Table Text"/>
    <w:basedOn w:val="P0"/>
    <w:pPr>
      <w:widowControl w:val="0"/>
      <w:spacing w:before="60" w:after="60" w:beforeAutospacing="0" w:afterAutospacing="0"/>
    </w:pPr>
    <w:rPr>
      <w:rFonts w:ascii="Arial" w:hAnsi="Arial"/>
      <w:sz w:val="20"/>
      <w:lang w:val="en-GB"/>
    </w:rPr>
  </w:style>
  <w:style w:type="paragraph" w:styleId="P36">
    <w:name w:val="Number"/>
    <w:basedOn w:val="P14"/>
    <w:next w:val="P14"/>
    <w:pPr>
      <w:spacing w:after="0" w:beforeAutospacing="0" w:afterAutospacing="0"/>
      <w:ind w:hanging="360" w:left="360"/>
    </w:pPr>
    <w:rPr/>
  </w:style>
  <w:style w:type="paragraph" w:styleId="P37">
    <w:name w:val="Other"/>
    <w:basedOn w:val="P0"/>
    <w:pPr>
      <w:widowControl w:val="0"/>
    </w:pPr>
    <w:rPr>
      <w:rFonts w:ascii="Courier New" w:hAnsi="Courier New"/>
      <w:sz w:val="24"/>
    </w:rPr>
  </w:style>
  <w:style w:type="paragraph" w:styleId="P38">
    <w:name w:val="Plain Text"/>
    <w:basedOn w:val="P0"/>
    <w:link w:val="C24"/>
    <w:pPr/>
    <w:rPr>
      <w:rFonts w:ascii="Courier New" w:hAnsi="Courier New"/>
      <w:sz w:val="20"/>
    </w:rPr>
  </w:style>
  <w:style w:type="paragraph" w:styleId="P39">
    <w:name w:val="Style1"/>
    <w:basedOn w:val="P0"/>
    <w:pPr>
      <w:tabs>
        <w:tab w:val="left" w:pos="1080" w:leader="none"/>
        <w:tab w:val="left" w:pos="4320" w:leader="none"/>
      </w:tabs>
      <w:spacing w:lineRule="atLeast" w:line="320" w:before="120" w:after="120" w:beforeAutospacing="0" w:afterAutospacing="0"/>
    </w:pPr>
    <w:rPr/>
  </w:style>
  <w:style w:type="paragraph" w:styleId="P40">
    <w:name w:val="Style2"/>
    <w:basedOn w:val="P0"/>
    <w:pPr>
      <w:tabs>
        <w:tab w:val="left" w:pos="4320" w:leader="none"/>
        <w:tab w:val="left" w:pos="9471" w:leader="none"/>
      </w:tabs>
      <w:spacing w:lineRule="atLeast" w:line="320" w:before="120" w:after="120" w:beforeAutospacing="0" w:afterAutospacing="0"/>
    </w:pPr>
    <w:rPr>
      <w:rFonts w:ascii="Wingdings" w:hAnsi="Wingdings"/>
    </w:rPr>
  </w:style>
  <w:style w:type="paragraph" w:styleId="P41">
    <w:name w:val="Style3"/>
    <w:basedOn w:val="P0"/>
    <w:pPr>
      <w:numPr>
        <w:numId w:val="2"/>
      </w:numPr>
      <w:tabs>
        <w:tab w:val="left" w:pos="720" w:leader="none"/>
        <w:tab w:val="left" w:pos="1440" w:leader="none"/>
        <w:tab w:val="left" w:pos="2160" w:leader="none"/>
        <w:tab w:val="left" w:pos="2880" w:leader="none"/>
      </w:tabs>
      <w:spacing w:lineRule="atLeast" w:line="320" w:before="120" w:after="120" w:beforeAutospacing="0" w:afterAutospacing="0"/>
      <w:jc w:val="both"/>
    </w:pPr>
    <w:rPr>
      <w:color w:val="000000"/>
    </w:rPr>
  </w:style>
  <w:style w:type="paragraph" w:styleId="P42">
    <w:name w:val="Subtitle"/>
    <w:basedOn w:val="P0"/>
    <w:next w:val="P0"/>
    <w:link w:val="C25"/>
    <w:qFormat/>
    <w:pPr>
      <w:spacing w:after="160" w:beforeAutospacing="0" w:afterAutospacing="0"/>
    </w:pPr>
    <w:rPr>
      <w:rFonts w:ascii="Calibri" w:hAnsi="Calibri"/>
      <w:color w:val="5A5A5A"/>
    </w:rPr>
  </w:style>
  <w:style w:type="paragraph" w:styleId="P43">
    <w:name w:val="Table Head"/>
    <w:basedOn w:val="P0"/>
    <w:next w:val="P0"/>
    <w:pPr>
      <w:spacing w:before="80" w:after="80" w:beforeAutospacing="0" w:afterAutospacing="0"/>
      <w:jc w:val="center"/>
    </w:pPr>
    <w:rPr>
      <w:rFonts w:ascii="Arial" w:hAnsi="Arial"/>
      <w:b w:val="1"/>
      <w:sz w:val="18"/>
    </w:rPr>
  </w:style>
  <w:style w:type="paragraph" w:styleId="P44">
    <w:name w:val="Table Body"/>
    <w:basedOn w:val="P43"/>
    <w:pPr>
      <w:jc w:val="left"/>
    </w:pPr>
    <w:rPr>
      <w:b w:val="0"/>
    </w:rPr>
  </w:style>
  <w:style w:type="paragraph" w:styleId="P45">
    <w:name w:val="Table Flysheet"/>
    <w:basedOn w:val="P0"/>
    <w:pPr>
      <w:jc w:val="right"/>
    </w:pPr>
    <w:rPr>
      <w:rFonts w:ascii="Arial Narrow" w:hAnsi="Arial Narrow"/>
      <w:b w:val="1"/>
      <w:sz w:val="28"/>
    </w:rPr>
  </w:style>
  <w:style w:type="paragraph" w:styleId="P46">
    <w:name w:val="Table Flysheet Cont"/>
    <w:basedOn w:val="P0"/>
    <w:pPr>
      <w:spacing w:before="9720" w:beforeAutospacing="0" w:afterAutospacing="0"/>
      <w:jc w:val="right"/>
    </w:pPr>
    <w:rPr>
      <w:rFonts w:ascii="Arial Narrow" w:hAnsi="Arial Narrow"/>
      <w:b w:val="1"/>
      <w:sz w:val="28"/>
    </w:rPr>
  </w:style>
  <w:style w:type="paragraph" w:styleId="P47">
    <w:name w:val="Table Flysheet Title"/>
    <w:basedOn w:val="P0"/>
    <w:pPr>
      <w:spacing w:before="9720" w:beforeAutospacing="0" w:afterAutospacing="0"/>
      <w:jc w:val="right"/>
    </w:pPr>
    <w:rPr>
      <w:rFonts w:ascii="Arial Narrow" w:hAnsi="Arial Narrow"/>
      <w:b w:val="1"/>
      <w:sz w:val="28"/>
    </w:rPr>
  </w:style>
  <w:style w:type="paragraph" w:styleId="P48">
    <w:name w:val="Table Heading"/>
    <w:basedOn w:val="P0"/>
    <w:pPr>
      <w:widowControl w:val="0"/>
      <w:spacing w:before="60" w:after="60" w:beforeAutospacing="0" w:afterAutospacing="0"/>
    </w:pPr>
    <w:rPr>
      <w:rFonts w:ascii="Arial" w:hAnsi="Arial"/>
      <w:b w:val="1"/>
      <w:sz w:val="20"/>
      <w:lang w:val="en-GB"/>
    </w:rPr>
  </w:style>
  <w:style w:type="paragraph" w:styleId="P49">
    <w:name w:val="Table Notes"/>
    <w:basedOn w:val="P44"/>
    <w:pPr>
      <w:spacing w:after="320" w:beforeAutospacing="0" w:afterAutospacing="0"/>
    </w:pPr>
    <w:rPr/>
  </w:style>
  <w:style w:type="paragraph" w:styleId="P50">
    <w:name w:val="Tick"/>
    <w:basedOn w:val="P14"/>
    <w:next w:val="P14"/>
    <w:pPr>
      <w:spacing w:after="0" w:beforeAutospacing="0" w:afterAutospacing="0"/>
      <w:ind w:hanging="360" w:left="720"/>
    </w:pPr>
    <w:rPr/>
  </w:style>
  <w:style w:type="paragraph" w:styleId="P51">
    <w:name w:val="Title"/>
    <w:basedOn w:val="P0"/>
    <w:link w:val="C26"/>
    <w:qFormat/>
    <w:pPr>
      <w:widowControl w:val="0"/>
    </w:pPr>
    <w:rPr>
      <w:rFonts w:ascii="Courier New" w:hAnsi="Courier New"/>
      <w:sz w:val="24"/>
    </w:rPr>
  </w:style>
  <w:style w:type="paragraph" w:styleId="P52">
    <w:name w:val="toc 1"/>
    <w:basedOn w:val="P0"/>
    <w:next w:val="P0"/>
    <w:pPr>
      <w:tabs>
        <w:tab w:val="left" w:pos="1080" w:leader="none"/>
        <w:tab w:val="right" w:pos="9360" w:leader="dot"/>
      </w:tabs>
      <w:spacing w:before="240" w:after="240" w:beforeAutospacing="0" w:afterAutospacing="0"/>
      <w:ind w:hanging="1080" w:left="1080"/>
    </w:pPr>
    <w:rPr>
      <w:rFonts w:ascii="Times New Roman" w:hAnsi="Times New Roman"/>
      <w:b w:val="1"/>
      <w:caps w:val="1"/>
      <w:sz w:val="24"/>
      <w:lang w:val="en-CA"/>
    </w:rPr>
  </w:style>
  <w:style w:type="paragraph" w:styleId="P53">
    <w:name w:val="toc 2"/>
    <w:basedOn w:val="P0"/>
    <w:next w:val="P0"/>
    <w:pPr>
      <w:tabs>
        <w:tab w:val="left" w:pos="1080" w:leader="none"/>
        <w:tab w:val="right" w:pos="9360" w:leader="dot"/>
      </w:tabs>
      <w:ind w:hanging="1080" w:left="1080"/>
    </w:pPr>
    <w:rPr>
      <w:rFonts w:ascii="Times New Roman" w:hAnsi="Times New Roman"/>
      <w:caps w:val="1"/>
      <w:lang w:val="en-CA"/>
    </w:rPr>
  </w:style>
  <w:style w:type="paragraph" w:styleId="P54">
    <w:name w:val="toc 3"/>
    <w:basedOn w:val="P0"/>
    <w:next w:val="P0"/>
    <w:semiHidden/>
    <w:pPr>
      <w:spacing w:after="220" w:beforeAutospacing="0" w:afterAutospacing="0"/>
      <w:ind w:hanging="720" w:left="1440"/>
    </w:pPr>
    <w:rPr>
      <w:rFonts w:ascii="Arial" w:hAnsi="Arial"/>
      <w:lang w:val="en-CA"/>
    </w:rPr>
  </w:style>
  <w:style w:type="paragraph" w:styleId="P55">
    <w:name w:val="toc 4"/>
    <w:basedOn w:val="P54"/>
    <w:next w:val="P56"/>
    <w:semiHidden/>
    <w:pPr>
      <w:tabs>
        <w:tab w:val="left" w:pos="2880" w:leader="none"/>
      </w:tabs>
      <w:ind w:left="2160"/>
    </w:pPr>
    <w:rPr/>
  </w:style>
  <w:style w:type="paragraph" w:styleId="P56">
    <w:name w:val="toc 5"/>
    <w:basedOn w:val="P0"/>
    <w:next w:val="P0"/>
    <w:semiHidden/>
    <w:pPr>
      <w:ind w:left="880"/>
    </w:pPr>
    <w:rPr/>
  </w:style>
  <w:style w:type="paragraph" w:styleId="P57">
    <w:name w:val="List Paragraph"/>
    <w:basedOn w:val="P0"/>
    <w:qFormat/>
    <w:pPr>
      <w:spacing w:after="220" w:beforeAutospacing="0" w:afterAutospacing="0"/>
      <w:ind w:left="720"/>
    </w:pPr>
    <w:rPr>
      <w:rFonts w:ascii="Calibri" w:hAnsi="Calibri"/>
    </w:rPr>
  </w:style>
  <w:style w:type="paragraph" w:styleId="P58">
    <w:name w:val="Apendix Heading 3 - B"/>
    <w:basedOn w:val="P0"/>
    <w:next w:val="P0"/>
    <w:pPr>
      <w:numPr>
        <w:numId w:val="15"/>
      </w:numPr>
    </w:pPr>
    <w:rPr>
      <w:rFonts w:ascii="Times New (W1)" w:hAnsi="Times New (W1)"/>
      <w:sz w:val="20"/>
      <w:lang w:val="en-CA"/>
    </w:rPr>
  </w:style>
  <w:style w:type="paragraph" w:styleId="P59">
    <w:name w:val="AppA - Heading 2"/>
    <w:basedOn w:val="P2"/>
    <w:next w:val="P0"/>
    <w:pPr>
      <w:numPr>
        <w:numId w:val="0"/>
      </w:numPr>
      <w:tabs>
        <w:tab w:val="left" w:pos="720" w:leader="none"/>
      </w:tabs>
      <w:spacing w:after="180" w:beforeAutospacing="0" w:afterAutospacing="0"/>
      <w:ind w:hanging="720" w:left="720"/>
      <w:jc w:val="both"/>
    </w:pPr>
    <w:rPr>
      <w:lang w:val="en-CA" w:eastAsia="en-CA"/>
    </w:rPr>
  </w:style>
  <w:style w:type="paragraph" w:styleId="P60">
    <w:name w:val="AppA - Heading 3"/>
    <w:basedOn w:val="P3"/>
    <w:next w:val="P0"/>
    <w:pPr>
      <w:widowControl w:val="0"/>
      <w:numPr>
        <w:numId w:val="13"/>
      </w:numPr>
      <w:tabs>
        <w:tab w:val="clear" w:pos="1440" w:leader="none"/>
      </w:tabs>
      <w:spacing w:after="180" w:beforeAutospacing="0" w:afterAutospacing="0"/>
      <w:jc w:val="both"/>
    </w:pPr>
    <w:rPr>
      <w:lang w:val="en-CA" w:eastAsia="en-CA"/>
    </w:rPr>
  </w:style>
  <w:style w:type="paragraph" w:styleId="P61">
    <w:name w:val="AppB - Heading 2"/>
    <w:basedOn w:val="P2"/>
    <w:next w:val="P0"/>
    <w:pPr>
      <w:numPr>
        <w:numId w:val="14"/>
      </w:numPr>
      <w:spacing w:after="180" w:beforeAutospacing="0" w:afterAutospacing="0"/>
    </w:pPr>
    <w:rPr>
      <w:lang w:val="en-CA"/>
    </w:rPr>
  </w:style>
  <w:style w:type="paragraph" w:styleId="P62">
    <w:name w:val="AppC - Heading 2"/>
    <w:basedOn w:val="P61"/>
    <w:next w:val="P0"/>
    <w:pPr>
      <w:numPr>
        <w:numId w:val="0"/>
      </w:numPr>
    </w:pPr>
    <w:rPr/>
  </w:style>
  <w:style w:type="paragraph" w:styleId="P63">
    <w:name w:val="Appendix"/>
    <w:basedOn w:val="P0"/>
    <w:pPr>
      <w:jc w:val="right"/>
    </w:pPr>
    <w:rPr>
      <w:rFonts w:ascii="Times New (W1)" w:hAnsi="Times New (W1)"/>
      <w:sz w:val="52"/>
      <w:lang w:val="en-CA" w:eastAsia="en-CA"/>
    </w:rPr>
  </w:style>
  <w:style w:type="paragraph" w:styleId="P64">
    <w:name w:val="Appendix Heading 2"/>
    <w:basedOn w:val="P0"/>
    <w:next w:val="P0"/>
    <w:pPr/>
    <w:rPr>
      <w:rFonts w:ascii="Arial" w:hAnsi="Arial"/>
      <w:b w:val="1"/>
      <w:i w:val="1"/>
      <w:sz w:val="20"/>
      <w:lang w:val="en-CA"/>
    </w:rPr>
  </w:style>
  <w:style w:type="paragraph" w:styleId="P65">
    <w:name w:val="Appendix Heading 3 - C"/>
    <w:basedOn w:val="P0"/>
    <w:next w:val="P0"/>
    <w:pPr>
      <w:keepNext w:val="1"/>
      <w:outlineLvl w:val="1"/>
    </w:pPr>
    <w:rPr>
      <w:rFonts w:ascii="Arial" w:hAnsi="Arial"/>
      <w:b w:val="1"/>
      <w:i w:val="1"/>
      <w:sz w:val="20"/>
      <w:lang w:val="en-CA"/>
    </w:rPr>
  </w:style>
  <w:style w:type="paragraph" w:styleId="P66">
    <w:name w:val="Appendix Heading 2 - D"/>
    <w:basedOn w:val="P65"/>
    <w:next w:val="P0"/>
    <w:pPr>
      <w:numPr>
        <w:ilvl w:val="1"/>
        <w:numId w:val="15"/>
      </w:numPr>
    </w:pPr>
    <w:rPr/>
  </w:style>
  <w:style w:type="paragraph" w:styleId="P67">
    <w:name w:val="AppF - Heading F"/>
    <w:basedOn w:val="P59"/>
    <w:next w:val="P0"/>
    <w:pPr>
      <w:numPr>
        <w:ilvl w:val="1"/>
        <w:numId w:val="16"/>
      </w:numPr>
    </w:pPr>
    <w:rPr/>
  </w:style>
  <w:style w:type="paragraph" w:styleId="P68">
    <w:name w:val="AppG - Heading 2"/>
    <w:basedOn w:val="P2"/>
    <w:next w:val="P0"/>
    <w:pPr>
      <w:numPr>
        <w:numId w:val="17"/>
      </w:numPr>
      <w:spacing w:after="180" w:beforeAutospacing="0" w:afterAutospacing="0"/>
      <w:jc w:val="both"/>
    </w:pPr>
    <w:rPr>
      <w:lang w:val="en-CA"/>
    </w:rPr>
  </w:style>
  <w:style w:type="paragraph" w:styleId="P69">
    <w:name w:val="AppH - Heading 2"/>
    <w:basedOn w:val="P2"/>
    <w:next w:val="P0"/>
    <w:pPr>
      <w:numPr>
        <w:numId w:val="18"/>
      </w:numPr>
      <w:spacing w:after="180" w:beforeAutospacing="0" w:afterAutospacing="0"/>
      <w:jc w:val="both"/>
    </w:pPr>
    <w:rPr>
      <w:lang w:val="en-CA"/>
    </w:rPr>
  </w:style>
  <w:style w:type="paragraph" w:styleId="P70">
    <w:name w:val="AppI - Heading 2"/>
    <w:basedOn w:val="P2"/>
    <w:next w:val="P0"/>
    <w:pPr>
      <w:numPr>
        <w:numId w:val="19"/>
      </w:numPr>
      <w:spacing w:after="180" w:beforeAutospacing="0" w:afterAutospacing="0"/>
      <w:jc w:val="both"/>
    </w:pPr>
    <w:rPr>
      <w:lang w:val="en-CA"/>
    </w:rPr>
  </w:style>
  <w:style w:type="paragraph" w:styleId="P71">
    <w:name w:val="AppJ - Heading 2"/>
    <w:basedOn w:val="P2"/>
    <w:next w:val="P0"/>
    <w:pPr>
      <w:numPr>
        <w:numId w:val="20"/>
      </w:numPr>
      <w:spacing w:after="180" w:beforeAutospacing="0" w:afterAutospacing="0"/>
      <w:jc w:val="both"/>
    </w:pPr>
    <w:rPr>
      <w:lang w:val="en-CA"/>
    </w:rPr>
  </w:style>
  <w:style w:type="paragraph" w:styleId="P72">
    <w:name w:val="Body Text Indent"/>
    <w:basedOn w:val="P0"/>
    <w:link w:val="C27"/>
    <w:pPr>
      <w:spacing w:after="120" w:beforeAutospacing="0" w:afterAutospacing="0"/>
      <w:ind w:left="360"/>
    </w:pPr>
    <w:rPr>
      <w:rFonts w:ascii="Times New Roman" w:hAnsi="Times New Roman"/>
      <w:sz w:val="24"/>
    </w:rPr>
  </w:style>
  <w:style w:type="paragraph" w:styleId="P73">
    <w:name w:val="Body Text Indent 3"/>
    <w:basedOn w:val="P0"/>
    <w:link w:val="C28"/>
    <w:semiHidden/>
    <w:pPr>
      <w:tabs>
        <w:tab w:val="left" w:pos="720" w:leader="none"/>
        <w:tab w:val="left" w:pos="1440" w:leader="none"/>
      </w:tabs>
      <w:suppressAutoHyphens w:val="1"/>
      <w:ind w:hanging="720" w:left="1440"/>
    </w:pPr>
    <w:rPr>
      <w:rFonts w:ascii="Times New (W1)" w:hAnsi="Times New (W1)"/>
      <w:color w:val="000000"/>
      <w:sz w:val="20"/>
      <w:lang w:val="en-CA" w:eastAsia="en-CA"/>
    </w:rPr>
  </w:style>
  <w:style w:type="paragraph" w:styleId="P74">
    <w:name w:val="Clause 1"/>
    <w:basedOn w:val="P0"/>
    <w:link w:val="C29"/>
    <w:pPr>
      <w:numPr>
        <w:ilvl w:val="2"/>
        <w:numId w:val="21"/>
      </w:numPr>
      <w:tabs>
        <w:tab w:val="left" w:pos="720" w:leader="none"/>
      </w:tabs>
      <w:spacing w:after="240" w:beforeAutospacing="0" w:afterAutospacing="0"/>
    </w:pPr>
    <w:rPr>
      <w:rFonts w:ascii="Arial" w:hAnsi="Arial"/>
      <w:sz w:val="20"/>
      <w:lang w:val="en-CA"/>
    </w:rPr>
  </w:style>
  <w:style w:type="paragraph" w:styleId="P75">
    <w:name w:val="Clause 2"/>
    <w:basedOn w:val="P74"/>
    <w:pPr>
      <w:numPr>
        <w:ilvl w:val="3"/>
      </w:numPr>
      <w:tabs>
        <w:tab w:val="left" w:pos="2880" w:leader="none"/>
      </w:tabs>
    </w:pPr>
    <w:rPr/>
  </w:style>
  <w:style w:type="paragraph" w:styleId="P76">
    <w:name w:val="Clause 3"/>
    <w:basedOn w:val="P75"/>
    <w:pPr>
      <w:numPr>
        <w:ilvl w:val="4"/>
      </w:numPr>
      <w:tabs>
        <w:tab w:val="left" w:pos="360" w:leader="none"/>
        <w:tab w:val="clear" w:pos="2880" w:leader="none"/>
        <w:tab w:val="left" w:pos="3240" w:leader="none"/>
        <w:tab w:val="left" w:pos="3600" w:leader="none"/>
      </w:tabs>
    </w:pPr>
    <w:rPr/>
  </w:style>
  <w:style w:type="paragraph" w:styleId="P77">
    <w:name w:val="CSI OUTLINE"/>
    <w:basedOn w:val="P0"/>
    <w:pPr>
      <w:numPr>
        <w:numId w:val="22"/>
      </w:numPr>
      <w:spacing w:after="220" w:beforeAutospacing="0" w:afterAutospacing="0"/>
    </w:pPr>
    <w:rPr>
      <w:rFonts w:ascii="Times" w:hAnsi="Times"/>
    </w:rPr>
  </w:style>
  <w:style w:type="paragraph" w:styleId="P78">
    <w:name w:val="Document Map"/>
    <w:basedOn w:val="P0"/>
    <w:link w:val="C30"/>
    <w:semiHidden/>
    <w:pPr>
      <w:spacing w:after="220" w:beforeAutospacing="0" w:afterAutospacing="0"/>
    </w:pPr>
    <w:rPr>
      <w:rFonts w:ascii="Tahoma" w:hAnsi="Tahoma"/>
      <w:sz w:val="16"/>
      <w:lang w:val="en-CA"/>
    </w:rPr>
  </w:style>
  <w:style w:type="paragraph" w:styleId="P79">
    <w:name w:val="EndofSec"/>
    <w:basedOn w:val="P0"/>
    <w:pPr>
      <w:spacing w:after="220" w:beforeAutospacing="0" w:afterAutospacing="0"/>
      <w:jc w:val="center"/>
    </w:pPr>
    <w:rPr>
      <w:rFonts w:ascii="Arial" w:hAnsi="Arial"/>
      <w:b w:val="1"/>
      <w:caps w:val="1"/>
      <w:lang w:val="en-CA"/>
    </w:rPr>
  </w:style>
  <w:style w:type="paragraph" w:styleId="P80">
    <w:name w:val="Figure"/>
    <w:basedOn w:val="P0"/>
    <w:pPr>
      <w:widowControl w:val="0"/>
      <w:tabs>
        <w:tab w:val="left" w:pos="720" w:leader="none"/>
        <w:tab w:val="left" w:pos="1440" w:leader="none"/>
      </w:tabs>
      <w:suppressAutoHyphens w:val="1"/>
      <w:ind w:hanging="720" w:left="1440"/>
    </w:pPr>
    <w:rPr>
      <w:rFonts w:ascii="Times New (W1)" w:hAnsi="Times New (W1)"/>
      <w:color w:val="000000"/>
      <w:sz w:val="20"/>
      <w:lang w:val="en-CA"/>
    </w:rPr>
  </w:style>
  <w:style w:type="paragraph" w:styleId="P81">
    <w:name w:val="Header2"/>
    <w:basedOn w:val="P9"/>
    <w:link w:val="C31"/>
    <w:qFormat/>
    <w:pPr>
      <w:numPr>
        <w:numId w:val="0"/>
      </w:numPr>
      <w:tabs>
        <w:tab w:val="center" w:pos="4320" w:leader="none"/>
        <w:tab w:val="right" w:pos="8640" w:leader="none"/>
      </w:tabs>
      <w:spacing w:after="0" w:beforeAutospacing="0" w:afterAutospacing="0"/>
      <w:jc w:val="center"/>
    </w:pPr>
    <w:rPr>
      <w:rFonts w:ascii="Arial" w:hAnsi="Arial"/>
      <w:b w:val="1"/>
      <w:sz w:val="22"/>
      <w:lang w:val="en-CA"/>
    </w:rPr>
  </w:style>
  <w:style w:type="paragraph" w:styleId="P82">
    <w:name w:val="Header1"/>
    <w:basedOn w:val="P81"/>
    <w:link w:val="C32"/>
    <w:qFormat/>
    <w:pPr>
      <w:jc w:val="left"/>
    </w:pPr>
    <w:rPr/>
  </w:style>
  <w:style w:type="paragraph" w:styleId="P83">
    <w:name w:val="Header3"/>
    <w:basedOn w:val="P9"/>
    <w:link w:val="C33"/>
    <w:qFormat/>
    <w:pPr>
      <w:numPr>
        <w:numId w:val="0"/>
      </w:numPr>
      <w:tabs>
        <w:tab w:val="center" w:pos="4320" w:leader="none"/>
        <w:tab w:val="right" w:pos="8640" w:leader="none"/>
      </w:tabs>
      <w:spacing w:after="0" w:beforeAutospacing="0" w:afterAutospacing="0"/>
      <w:jc w:val="center"/>
    </w:pPr>
    <w:rPr>
      <w:rFonts w:ascii="Arial" w:hAnsi="Arial"/>
      <w:b w:val="1"/>
      <w:caps w:val="1"/>
      <w:sz w:val="22"/>
      <w:lang w:val="en-CA"/>
    </w:rPr>
  </w:style>
  <w:style w:type="paragraph" w:styleId="P84">
    <w:name w:val="Header4"/>
    <w:basedOn w:val="P9"/>
    <w:link w:val="C34"/>
    <w:qFormat/>
    <w:pPr>
      <w:numPr>
        <w:numId w:val="0"/>
      </w:numPr>
      <w:tabs>
        <w:tab w:val="center" w:pos="4320" w:leader="none"/>
        <w:tab w:val="right" w:pos="8640" w:leader="none"/>
      </w:tabs>
      <w:spacing w:after="0" w:beforeAutospacing="0" w:afterAutospacing="0"/>
      <w:jc w:val="right"/>
    </w:pPr>
    <w:rPr>
      <w:rFonts w:ascii="Arial" w:hAnsi="Arial"/>
      <w:b w:val="1"/>
      <w:sz w:val="22"/>
      <w:lang w:val="en-CA"/>
    </w:rPr>
  </w:style>
  <w:style w:type="paragraph" w:styleId="P85">
    <w:name w:val="Heading 3.1"/>
    <w:basedOn w:val="P3"/>
    <w:pPr>
      <w:widowControl w:val="0"/>
      <w:numPr>
        <w:numId w:val="0"/>
      </w:numPr>
      <w:tabs>
        <w:tab w:val="left" w:pos="720" w:leader="none"/>
        <w:tab w:val="left" w:pos="2160" w:leader="none"/>
      </w:tabs>
      <w:spacing w:after="220" w:beforeAutospacing="0" w:afterAutospacing="0"/>
      <w:ind w:left="1247"/>
      <w:jc w:val="both"/>
    </w:pPr>
    <w:rPr>
      <w:rFonts w:ascii="Arial" w:hAnsi="Arial"/>
      <w:lang w:val="en-CA"/>
    </w:rPr>
  </w:style>
  <w:style w:type="paragraph" w:styleId="P86">
    <w:name w:val="heading2a"/>
    <w:basedOn w:val="P1"/>
    <w:pPr>
      <w:keepLines w:val="1"/>
      <w:numPr>
        <w:numId w:val="0"/>
      </w:numPr>
      <w:tabs>
        <w:tab w:val="left" w:pos="1440" w:leader="none"/>
      </w:tabs>
      <w:suppressAutoHyphens w:val="1"/>
      <w:spacing w:before="0" w:after="180" w:beforeAutospacing="0" w:afterAutospacing="0"/>
      <w:ind w:hanging="1440" w:left="1440"/>
      <w:jc w:val="both"/>
    </w:pPr>
    <w:rPr>
      <w:b w:val="1"/>
      <w:caps w:val="0"/>
      <w:color w:val="000000"/>
      <w:lang w:val="en-CA" w:eastAsia="en-CA"/>
    </w:rPr>
  </w:style>
  <w:style w:type="paragraph" w:styleId="P87">
    <w:name w:val="heading3a"/>
    <w:basedOn w:val="P2"/>
    <w:pPr>
      <w:numPr>
        <w:numId w:val="0"/>
      </w:numPr>
      <w:tabs>
        <w:tab w:val="left" w:pos="720" w:leader="none"/>
        <w:tab w:val="left" w:pos="1440" w:leader="none"/>
      </w:tabs>
      <w:suppressAutoHyphens w:val="1"/>
      <w:spacing w:before="120" w:after="180" w:beforeAutospacing="0" w:afterAutospacing="0"/>
      <w:ind w:hanging="720" w:left="720"/>
      <w:jc w:val="both"/>
    </w:pPr>
    <w:rPr>
      <w:b w:val="1"/>
      <w:i w:val="1"/>
      <w:caps w:val="1"/>
      <w:color w:val="000000"/>
      <w:lang w:val="en-CA" w:eastAsia="en-CA"/>
    </w:rPr>
  </w:style>
  <w:style w:type="paragraph" w:styleId="P88">
    <w:name w:val="Level 1"/>
    <w:basedOn w:val="P0"/>
    <w:qFormat/>
    <w:pPr>
      <w:tabs>
        <w:tab w:val="left" w:pos="1440" w:leader="none"/>
      </w:tabs>
      <w:spacing w:after="220" w:beforeAutospacing="0" w:afterAutospacing="0"/>
    </w:pPr>
    <w:rPr>
      <w:rFonts w:ascii="Arial" w:hAnsi="Arial"/>
      <w:b w:val="1"/>
      <w:lang w:val="en-CA"/>
    </w:rPr>
  </w:style>
  <w:style w:type="paragraph" w:styleId="P89">
    <w:name w:val="Level 2"/>
    <w:basedOn w:val="P88"/>
    <w:qFormat/>
    <w:pPr/>
    <w:rPr>
      <w:b w:val="0"/>
      <w:sz w:val="20"/>
    </w:rPr>
  </w:style>
  <w:style w:type="paragraph" w:styleId="P90">
    <w:name w:val="Level 3"/>
    <w:basedOn w:val="P89"/>
    <w:qFormat/>
    <w:pPr>
      <w:tabs>
        <w:tab w:val="left" w:pos="720" w:leader="none"/>
      </w:tabs>
      <w:ind w:hanging="720" w:left="1440"/>
    </w:pPr>
    <w:rPr/>
  </w:style>
  <w:style w:type="paragraph" w:styleId="P91">
    <w:name w:val="Level 4"/>
    <w:basedOn w:val="P90"/>
    <w:qFormat/>
    <w:pPr>
      <w:ind w:left="2160"/>
    </w:pPr>
    <w:rPr/>
  </w:style>
  <w:style w:type="paragraph" w:styleId="P92">
    <w:name w:val="P1"/>
    <w:basedOn w:val="P0"/>
    <w:pPr>
      <w:widowControl w:val="0"/>
      <w:tabs>
        <w:tab w:val="left" w:pos="720" w:leader="none"/>
      </w:tabs>
      <w:ind w:hanging="684" w:left="720"/>
    </w:pPr>
    <w:rPr>
      <w:rFonts w:ascii="Courier New" w:hAnsi="Courier New"/>
      <w:sz w:val="24"/>
    </w:rPr>
  </w:style>
  <w:style w:type="paragraph" w:styleId="P93">
    <w:name w:val="Section Title"/>
    <w:basedOn w:val="P0"/>
    <w:pPr>
      <w:tabs>
        <w:tab w:val="left" w:pos="0" w:leader="none"/>
      </w:tabs>
      <w:spacing w:after="240" w:beforeAutospacing="0" w:afterAutospacing="0"/>
      <w:jc w:val="center"/>
    </w:pPr>
    <w:rPr>
      <w:rFonts w:ascii="Times New Roman" w:hAnsi="Times New Roman"/>
      <w:b w:val="1"/>
      <w:caps w:val="1"/>
      <w:sz w:val="24"/>
    </w:rPr>
  </w:style>
  <w:style w:type="paragraph" w:styleId="P94">
    <w:name w:val="SectName2"/>
    <w:basedOn w:val="P0"/>
    <w:pPr>
      <w:spacing w:after="220" w:beforeAutospacing="0" w:afterAutospacing="0"/>
    </w:pPr>
    <w:rPr>
      <w:rFonts w:ascii="Arial" w:hAnsi="Arial"/>
      <w:b w:val="1"/>
      <w:lang w:val="en-CA"/>
    </w:rPr>
  </w:style>
  <w:style w:type="paragraph" w:styleId="P95">
    <w:name w:val="Spec Note"/>
    <w:basedOn w:val="P0"/>
    <w:pPr>
      <w:tabs>
        <w:tab w:val="left" w:pos="1440" w:leader="none"/>
      </w:tabs>
      <w:spacing w:lineRule="exact" w:line="280" w:beforeAutospacing="0" w:afterAutospacing="0"/>
      <w:ind w:hanging="1440" w:left="1440"/>
    </w:pPr>
    <w:rPr>
      <w:rFonts w:ascii="Times New Roman" w:hAnsi="Times New Roman"/>
      <w:vanish w:val="1"/>
      <w:color w:val="0000FF"/>
    </w:rPr>
  </w:style>
  <w:style w:type="paragraph" w:styleId="P96">
    <w:name w:val="SPECNOTE"/>
    <w:basedOn w:val="P0"/>
    <w:pPr>
      <w:tabs>
        <w:tab w:val="right" w:pos="792"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s>
      <w:suppressAutoHyphens w:val="1"/>
      <w:spacing w:after="220" w:beforeAutospacing="0" w:afterAutospacing="0"/>
      <w:ind w:hanging="1080" w:left="1080"/>
      <w:jc w:val="both"/>
    </w:pPr>
    <w:rPr>
      <w:rFonts w:ascii="Arial" w:hAnsi="Arial"/>
      <w:color w:val="00FF00"/>
      <w:lang w:val="en-CA"/>
    </w:rPr>
  </w:style>
  <w:style w:type="paragraph" w:styleId="P97">
    <w:name w:val="Subtitle-1"/>
    <w:basedOn w:val="P0"/>
    <w:next w:val="P0"/>
    <w:pPr>
      <w:jc w:val="right"/>
    </w:pPr>
    <w:rPr>
      <w:rFonts w:ascii="Times New (W1)" w:hAnsi="Times New (W1)"/>
      <w:sz w:val="28"/>
      <w:lang w:val="en-CA" w:eastAsia="en-CA"/>
    </w:rPr>
  </w:style>
  <w:style w:type="paragraph" w:styleId="P98">
    <w:name w:val="Table Text"/>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pPr>
    <w:rPr>
      <w:rFonts w:ascii="Times" w:hAnsi="Times"/>
      <w:sz w:val="24"/>
    </w:rPr>
  </w:style>
  <w:style w:type="paragraph" w:styleId="P99">
    <w:name w:val="Title-1"/>
    <w:basedOn w:val="P0"/>
    <w:next w:val="P0"/>
    <w:pPr>
      <w:jc w:val="right"/>
    </w:pPr>
    <w:rPr>
      <w:rFonts w:ascii="Times New (W1)" w:hAnsi="Times New (W1)"/>
      <w:sz w:val="40"/>
      <w:lang w:val="en-CA" w:eastAsia="en-CA"/>
    </w:rPr>
  </w:style>
  <w:style w:type="paragraph" w:styleId="P100">
    <w:name w:val="White"/>
    <w:basedOn w:val="P0"/>
    <w:link w:val="C38"/>
    <w:qFormat/>
    <w:pPr>
      <w:spacing w:after="220" w:beforeAutospacing="0" w:afterAutospacing="0"/>
    </w:pPr>
    <w:rPr>
      <w:rFonts w:ascii="Arial" w:hAnsi="Arial"/>
      <w:b w:val="1"/>
      <w:color w:val="FFFFFF"/>
      <w:sz w:val="16"/>
      <w:lang w:val="en-CA"/>
    </w:rPr>
  </w:style>
  <w:style w:type="paragraph" w:styleId="P101">
    <w:name w:val="Revision"/>
    <w:hidden/>
    <w:semiHidden/>
    <w:pPr/>
    <w:rPr>
      <w:rFonts w:ascii="Book Antiqua" w:hAnsi="Book Antiqu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10"/>
    <w:rPr>
      <w:rFonts w:ascii="Times New Roman" w:hAnsi="Times New Roman"/>
      <w:b w:val="1"/>
      <w:sz w:val="24"/>
      <w:lang w:val="en-CA"/>
    </w:rPr>
  </w:style>
  <w:style w:type="character" w:styleId="C4">
    <w:name w:val="Footer Char"/>
    <w:link w:val="P11"/>
    <w:rPr>
      <w:rFonts w:ascii="Times New Roman" w:hAnsi="Times New Roman"/>
      <w:caps w:val="1"/>
      <w:sz w:val="20"/>
      <w:lang w:val="en-CA"/>
    </w:rPr>
  </w:style>
  <w:style w:type="character" w:styleId="C5">
    <w:name w:val="Balloon Text Char"/>
    <w:link w:val="P12"/>
    <w:rPr>
      <w:rFonts w:ascii="Tahoma" w:hAnsi="Tahoma"/>
      <w:sz w:val="16"/>
    </w:rPr>
  </w:style>
  <w:style w:type="character" w:styleId="C6">
    <w:name w:val="Body Text Char"/>
    <w:link w:val="P14"/>
    <w:rPr>
      <w:rFonts w:ascii="Times New Roman" w:hAnsi="Times New Roman"/>
      <w:sz w:val="24"/>
    </w:rPr>
  </w:style>
  <w:style w:type="character" w:styleId="C7">
    <w:name w:val="Body Text Indent 2 Char"/>
    <w:link w:val="P15"/>
    <w:rPr>
      <w:rFonts w:ascii="Times New (W1)" w:hAnsi="Times New (W1)"/>
      <w:color w:val="000000"/>
      <w:sz w:val="20"/>
      <w:lang w:val="en-CA" w:eastAsia="en-CA"/>
    </w:rPr>
  </w:style>
  <w:style w:type="character" w:styleId="C8">
    <w:name w:val="annotation reference"/>
    <w:rPr>
      <w:sz w:val="16"/>
    </w:rPr>
  </w:style>
  <w:style w:type="character" w:styleId="C9">
    <w:name w:val="Comment Text Char"/>
    <w:link w:val="P18"/>
    <w:rPr>
      <w:rFonts w:ascii="Times New Roman" w:hAnsi="Times New Roman"/>
      <w:sz w:val="20"/>
    </w:rPr>
  </w:style>
  <w:style w:type="character" w:styleId="C10">
    <w:name w:val="Comment Subject Char"/>
    <w:link w:val="P19"/>
    <w:rPr>
      <w:b w:val="1"/>
    </w:rPr>
  </w:style>
  <w:style w:type="character" w:styleId="C11">
    <w:name w:val="Heading 1 Char"/>
    <w:link w:val="P1"/>
    <w:rPr>
      <w:rFonts w:ascii="Calibri" w:hAnsi="Calibri"/>
      <w:caps w:val="1"/>
      <w:u w:val="single"/>
    </w:rPr>
  </w:style>
  <w:style w:type="character" w:styleId="C12">
    <w:name w:val="Heading 2 Char"/>
    <w:link w:val="P2"/>
    <w:rPr>
      <w:rFonts w:ascii="Calibri" w:hAnsi="Calibri"/>
      <w:u w:val="single"/>
    </w:rPr>
  </w:style>
  <w:style w:type="character" w:styleId="C13">
    <w:name w:val="Main-Head Char"/>
    <w:link w:val="P20"/>
    <w:rPr>
      <w:rFonts w:ascii="Arial Narrow" w:hAnsi="Arial Narrow"/>
      <w:b w:val="1"/>
    </w:rPr>
  </w:style>
  <w:style w:type="character" w:styleId="C14">
    <w:name w:val="footnote reference"/>
    <w:semiHidden/>
    <w:rPr>
      <w:rFonts w:ascii="Arial" w:hAnsi="Arial"/>
      <w:sz w:val="16"/>
    </w:rPr>
  </w:style>
  <w:style w:type="character" w:styleId="C15">
    <w:name w:val="Footnote Text Char"/>
    <w:link w:val="P32"/>
    <w:semiHidden/>
    <w:rPr>
      <w:rFonts w:ascii="Arial" w:hAnsi="Arial"/>
      <w:sz w:val="16"/>
    </w:rPr>
  </w:style>
  <w:style w:type="character" w:styleId="C16">
    <w:name w:val="Heading 3 Char"/>
    <w:link w:val="P3"/>
    <w:rPr>
      <w:rFonts w:ascii="Calibri" w:hAnsi="Calibri"/>
    </w:rPr>
  </w:style>
  <w:style w:type="character" w:styleId="C17">
    <w:name w:val="Heading 4 Char"/>
    <w:link w:val="P4"/>
    <w:rPr>
      <w:rFonts w:ascii="Calibri" w:hAnsi="Calibri"/>
    </w:rPr>
  </w:style>
  <w:style w:type="character" w:styleId="C18">
    <w:name w:val="Heading 5 Char"/>
    <w:link w:val="P5"/>
    <w:rPr>
      <w:rFonts w:ascii="Calibri" w:hAnsi="Calibri"/>
    </w:rPr>
  </w:style>
  <w:style w:type="character" w:styleId="C19">
    <w:name w:val="Heading 6 Char"/>
    <w:link w:val="P6"/>
    <w:rPr>
      <w:rFonts w:ascii="Times New Roman" w:hAnsi="Times New Roman"/>
      <w:sz w:val="24"/>
    </w:rPr>
  </w:style>
  <w:style w:type="character" w:styleId="C20">
    <w:name w:val="Heading 7 Char"/>
    <w:link w:val="P7"/>
    <w:rPr>
      <w:rFonts w:ascii="Times New Roman" w:hAnsi="Times New Roman"/>
      <w:sz w:val="24"/>
    </w:rPr>
  </w:style>
  <w:style w:type="character" w:styleId="C21">
    <w:name w:val="Heading 8 Char"/>
    <w:link w:val="P8"/>
    <w:rPr>
      <w:rFonts w:ascii="Times New Roman" w:hAnsi="Times New Roman"/>
      <w:sz w:val="24"/>
    </w:rPr>
  </w:style>
  <w:style w:type="character" w:styleId="C22">
    <w:name w:val="Heading 9 Char"/>
    <w:link w:val="P9"/>
    <w:rPr>
      <w:rFonts w:ascii="Times New Roman" w:hAnsi="Times New Roman"/>
      <w:sz w:val="24"/>
    </w:rPr>
  </w:style>
  <w:style w:type="character" w:styleId="C23">
    <w:name w:val="page number"/>
    <w:rPr>
      <w:strike w:val="0"/>
      <w:vertAlign w:val="baseline"/>
    </w:rPr>
  </w:style>
  <w:style w:type="character" w:styleId="C24">
    <w:name w:val="Plain Text Char"/>
    <w:link w:val="P38"/>
    <w:rPr>
      <w:rFonts w:ascii="Courier New" w:hAnsi="Courier New"/>
      <w:sz w:val="20"/>
    </w:rPr>
  </w:style>
  <w:style w:type="character" w:styleId="C25">
    <w:name w:val="Subtitle Char"/>
    <w:link w:val="P42"/>
    <w:rPr>
      <w:rFonts w:ascii="Calibri" w:hAnsi="Calibri"/>
      <w:color w:val="5A5A5A"/>
    </w:rPr>
  </w:style>
  <w:style w:type="character" w:styleId="C26">
    <w:name w:val="Title Char"/>
    <w:link w:val="P51"/>
    <w:rPr>
      <w:rFonts w:ascii="Courier New" w:hAnsi="Courier New"/>
      <w:sz w:val="24"/>
    </w:rPr>
  </w:style>
  <w:style w:type="character" w:styleId="C27">
    <w:name w:val="Body Text Indent Char"/>
    <w:link w:val="P72"/>
    <w:rPr>
      <w:rFonts w:ascii="Times New Roman" w:hAnsi="Times New Roman"/>
      <w:sz w:val="24"/>
    </w:rPr>
  </w:style>
  <w:style w:type="character" w:styleId="C28">
    <w:name w:val="Body Text Indent 3 Char"/>
    <w:link w:val="P73"/>
    <w:semiHidden/>
    <w:rPr>
      <w:rFonts w:ascii="Times New (W1)" w:hAnsi="Times New (W1)"/>
      <w:color w:val="000000"/>
      <w:sz w:val="20"/>
      <w:lang w:val="en-CA" w:eastAsia="en-CA"/>
    </w:rPr>
  </w:style>
  <w:style w:type="character" w:styleId="C29">
    <w:name w:val="Clause 1 Char"/>
    <w:link w:val="P74"/>
    <w:rPr>
      <w:rFonts w:ascii="Arial" w:hAnsi="Arial"/>
      <w:sz w:val="20"/>
      <w:lang w:val="en-CA"/>
    </w:rPr>
  </w:style>
  <w:style w:type="character" w:styleId="C30">
    <w:name w:val="Document Map Char"/>
    <w:link w:val="P78"/>
    <w:semiHidden/>
    <w:rPr>
      <w:rFonts w:ascii="Tahoma" w:hAnsi="Tahoma"/>
      <w:sz w:val="16"/>
      <w:lang w:val="en-CA"/>
    </w:rPr>
  </w:style>
  <w:style w:type="character" w:styleId="C31">
    <w:name w:val="Header2 Char"/>
    <w:link w:val="P81"/>
    <w:rPr>
      <w:rFonts w:ascii="Arial" w:hAnsi="Arial"/>
      <w:b w:val="1"/>
      <w:sz w:val="22"/>
      <w:lang w:val="en-CA"/>
    </w:rPr>
  </w:style>
  <w:style w:type="character" w:styleId="C32">
    <w:name w:val="Header1 Char"/>
    <w:link w:val="P82"/>
    <w:rPr/>
  </w:style>
  <w:style w:type="character" w:styleId="C33">
    <w:name w:val="Header3 Char"/>
    <w:link w:val="P83"/>
    <w:rPr>
      <w:rFonts w:ascii="Arial" w:hAnsi="Arial"/>
      <w:b w:val="1"/>
      <w:caps w:val="1"/>
      <w:sz w:val="22"/>
      <w:lang w:val="en-CA"/>
    </w:rPr>
  </w:style>
  <w:style w:type="character" w:styleId="C34">
    <w:name w:val="Header4 Char"/>
    <w:link w:val="P84"/>
    <w:rPr>
      <w:rFonts w:ascii="Arial" w:hAnsi="Arial"/>
      <w:b w:val="1"/>
      <w:sz w:val="22"/>
      <w:lang w:val="en-CA"/>
    </w:rPr>
  </w:style>
  <w:style w:type="character" w:styleId="C35">
    <w:name w:val="SectName"/>
    <w:rPr>
      <w:rFonts w:ascii="Times New (W1)" w:hAnsi="Times New (W1)"/>
      <w:color w:val="auto"/>
      <w:sz w:val="20"/>
    </w:rPr>
  </w:style>
  <w:style w:type="character" w:styleId="C36">
    <w:name w:val="SectNo"/>
    <w:rPr>
      <w:rFonts w:ascii="Times New (W1)" w:hAnsi="Times New (W1)"/>
      <w:color w:val="auto"/>
      <w:sz w:val="20"/>
      <w:u w:val="none"/>
    </w:rPr>
  </w:style>
  <w:style w:type="character" w:styleId="C37">
    <w:name w:val="Strong"/>
    <w:qFormat/>
    <w:rPr>
      <w:rFonts w:ascii="Arial" w:hAnsi="Arial"/>
      <w:caps w:val="1"/>
      <w:sz w:val="20"/>
    </w:rPr>
  </w:style>
  <w:style w:type="character" w:styleId="C38">
    <w:name w:val="White Char"/>
    <w:link w:val="P100"/>
    <w:rPr>
      <w:rFonts w:ascii="Arial" w:hAnsi="Arial"/>
      <w:b w:val="1"/>
      <w:color w:val="FFFFFF"/>
      <w:sz w:val="16"/>
      <w:lang w:val="en-CA"/>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Grid Table 1 Light1"/>
    <w:basedOn w:val="T0"/>
    <w:rPr>
      <w:rFonts w:ascii="Times New Roman" w:hAnsi="Times New Roman"/>
      <w:lang w:eastAsia="en-CA"/>
    </w:rPr>
    <w:tblPr>
      <w:tblStyleRowBandSize w:val="1"/>
      <w:tblStyleColBandSize w:val="1"/>
      <w:tblBorders>
        <w:top w:val="single" w:sz="4" w:space="0" w:shadow="0" w:frame="0" w:color="999999"/>
        <w:left w:val="single" w:sz="4" w:space="0" w:shadow="0" w:frame="0" w:color="999999"/>
        <w:bottom w:val="single" w:sz="4" w:space="0" w:shadow="0" w:frame="0" w:color="999999"/>
        <w:right w:val="single" w:sz="4" w:space="0" w:shadow="0" w:frame="0" w:color="999999"/>
        <w:insideH w:val="single" w:sz="4" w:space="0" w:shadow="0" w:frame="0" w:color="999999"/>
        <w:insideV w:val="single" w:sz="4" w:space="0" w:shadow="0" w:frame="0" w:color="999999"/>
      </w:tblBorders>
    </w:tblPr>
    <w:trPr/>
    <w:tcPr/>
    <w:tblStylePr w:type="lastCol">
      <w:rPr>
        <w:b w:val="1"/>
      </w:rPr>
      <w:tblPr/>
      <w:trPr/>
      <w:tcPr/>
    </w:tblStylePr>
    <w:tblStylePr w:type="firstCol">
      <w:rPr>
        <w:b w:val="1"/>
      </w:rPr>
      <w:tblPr/>
      <w:trPr/>
      <w:tcPr/>
    </w:tblStylePr>
    <w:tblStylePr w:type="lastRow">
      <w:rPr>
        <w:b w:val="1"/>
      </w:rPr>
      <w:tblPr/>
      <w:trPr/>
      <w:tcPr>
        <w:tcBorders>
          <w:top w:val="double" w:sz="2" w:space="0" w:shadow="0" w:frame="0" w:color="666666"/>
        </w:tcBorders>
      </w:tcPr>
    </w:tblStylePr>
    <w:tblStylePr w:type="firstRow">
      <w:rPr>
        <w:b w:val="1"/>
      </w:rPr>
      <w:tblPr/>
      <w:trPr/>
      <w:tcPr>
        <w:tcBorders>
          <w:bottom w:val="single" w:sz="12" w:space="0" w:shadow="0" w:frame="0" w:color="666666"/>
        </w:tcBorders>
      </w:tcPr>
    </w:tblStylePr>
  </w:style>
  <w:style w:type="table" w:styleId="T3">
    <w:name w:val="Table Grid"/>
    <w:basedOn w:val="T0"/>
    <w:rPr>
      <w:rFonts w:ascii="Times New Roman" w:hAnsi="Times New Roman"/>
      <w:lang w:eastAsia="en-CA"/>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Amanda Hetherington</dc:creator>
  <dcterms:created xsi:type="dcterms:W3CDTF">2021-11-25T21:22:00Z</dcterms:created>
  <cp:lastModifiedBy>Ray</cp:lastModifiedBy>
  <dcterms:modified xsi:type="dcterms:W3CDTF">2022-10-04T19:39:04Z</dcterms:modified>
  <cp:revision>9</cp:revision>
  <dc:title>16223 Motor Starters Up To 600V</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0x01010069F33AF97BEDA443B34B2276A31F1843</vt:lpwstr>
  </property>
  <property fmtid="{D5CDD505-2E9C-101B-9397-08002B2CF9AE}" pid="3" name="File Code">
    <vt:lpwstr>P01 - Policies, Procedures and Guidelines</vt:lpwstr>
  </property>
  <property fmtid="{D5CDD505-2E9C-101B-9397-08002B2CF9AE}" pid="4" name="Project Number">
    <vt:lpwstr/>
  </property>
  <property fmtid="{D5CDD505-2E9C-101B-9397-08002B2CF9AE}" pid="5" name="Project Name">
    <vt:lpwstr>Specifications Update and Control Schematics Development</vt:lpwstr>
  </property>
  <property fmtid="{D5CDD505-2E9C-101B-9397-08002B2CF9AE}" pid="6" name="Organizational Unit">
    <vt:lpwstr>ENV/CPD</vt:lpwstr>
  </property>
  <property fmtid="{D5CDD505-2E9C-101B-9397-08002B2CF9AE}" pid="7" name="Key Document">
    <vt:lpwstr>0</vt:lpwstr>
  </property>
  <property fmtid="{D5CDD505-2E9C-101B-9397-08002B2CF9AE}" pid="8" name="_DCDateCreated">
    <vt:lpwstr>2018-05-18T09:01:23Z</vt:lpwstr>
  </property>
  <property fmtid="{D5CDD505-2E9C-101B-9397-08002B2CF9AE}" pid="9" name="Project Completion Date">
    <vt:lpwstr/>
  </property>
  <property fmtid="{D5CDD505-2E9C-101B-9397-08002B2CF9AE}" pid="10" name="TemplateUrl">
    <vt:lpwstr/>
  </property>
  <property fmtid="{D5CDD505-2E9C-101B-9397-08002B2CF9AE}" pid="11" name="xd_ProgID">
    <vt:lpwstr/>
  </property>
  <property fmtid="{D5CDD505-2E9C-101B-9397-08002B2CF9AE}" pid="12" name="_CopySource">
    <vt:lpwstr>https://mycloud.york.ca/projects/EnvServProgramDeliveryOffice/Design/Shared Documents/Technical Design Specification Templates/Division 16 - Electrical/16223 Motor Starters Up To 600V.docx</vt:lpwstr>
  </property>
  <property fmtid="{D5CDD505-2E9C-101B-9397-08002B2CF9AE}" pid="13" name="Order">
    <vt:r8>231200</vt:r8>
  </property>
  <property fmtid="{D5CDD505-2E9C-101B-9397-08002B2CF9AE}" pid="14" name="display_urn:schemas-microsoft-com:office:office#Editor">
    <vt:lpwstr>Mutton, Benjamin</vt:lpwstr>
  </property>
  <property fmtid="{D5CDD505-2E9C-101B-9397-08002B2CF9AE}" pid="15" name="URL">
    <vt:lpwstr/>
  </property>
  <property fmtid="{D5CDD505-2E9C-101B-9397-08002B2CF9AE}" pid="16" name="_dlc_DocIdItemGuid">
    <vt:lpwstr>354a1fff-2466-4992-ba12-0e52896912b3</vt:lpwstr>
  </property>
</Properties>
</file>