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D6FE7BD" Type="http://schemas.openxmlformats.org/officeDocument/2006/relationships/officeDocument" Target="word/document.xml"/><Relationship Id="coreRD6FE7BD" Type="http://schemas.openxmlformats.org/package/2006/relationships/metadata/core-properties" Target="docProps/core.xml"/><Relationship Id="customRD6FE7B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#5630511  v7 (AV) </w:t>
            </w:r>
            <w:r>
              <w:rPr>
                <w:rFonts w:ascii="Calibri" w:hAnsi="Calibri"/>
                <w:b w:val="1"/>
              </w:rPr>
              <w:t>and amended company corporate name</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Removed name manufacturers and added to the performance based specifications. (CPD PMO, OMM)   (AV)</w:t>
            </w:r>
          </w:p>
          <w:p>
            <w:pPr>
              <w:pStyle w:val="P1"/>
              <w:numPr>
                <w:ilvl w:val="3"/>
                <w:numId w:val="0"/>
              </w:numPr>
              <w:tabs>
                <w:tab w:val="left" w:pos="29" w:leader="none"/>
                <w:tab w:val="clear" w:pos="360" w:leader="none"/>
                <w:tab w:val="left" w:pos="774" w:leader="none"/>
                <w:tab w:val="clear" w:pos="2160" w:leader="none"/>
              </w:tabs>
              <w:ind w:hanging="29" w:left="29"/>
            </w:pPr>
            <w:r>
              <w:t xml:space="preserve">Added reference standards </w:t>
            </w:r>
            <w:r>
              <w:rPr>
                <w:sz w:val="18"/>
              </w:rPr>
              <w:t>(Ontario Electrical Safety Code, 26</w:t>
            </w:r>
            <w:r>
              <w:rPr>
                <w:sz w:val="18"/>
                <w:vertAlign w:val="superscript"/>
              </w:rPr>
              <w:t>th</w:t>
            </w:r>
            <w:r>
              <w:rPr>
                <w:sz w:val="18"/>
              </w:rPr>
              <w:t xml:space="preserve"> edition, 2015, NEMA 250-2014)</w:t>
            </w:r>
            <w:r>
              <w:t xml:space="preserve"> (AAM)</w:t>
            </w:r>
          </w:p>
          <w:p>
            <w:pPr>
              <w:rPr>
                <w:rFonts w:ascii="Calibri" w:hAnsi="Calibri"/>
              </w:rPr>
            </w:pPr>
          </w:p>
        </w:tc>
      </w:tr>
    </w:tbl>
    <w:p>
      <w:pPr>
        <w:pStyle w:val="P33"/>
        <w:numPr>
          <w:ilvl w:val="0"/>
          <w:numId w:val="0"/>
        </w:num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p>
    <w:p>
      <w:pPr>
        <w:pStyle w:val="P33"/>
      </w:pPr>
      <w:bookmarkEnd w:id="0"/>
      <w:bookmarkEnd w:id="1"/>
      <w:bookmarkEnd w:id="2"/>
      <w:r>
        <w:br w:type="page"/>
        <w:t>GEneral</w:t>
      </w:r>
    </w:p>
    <w:p>
      <w:pPr>
        <w:pStyle w:val="P34"/>
      </w:pPr>
      <w:r>
        <w:t>Related Sections</w:t>
      </w: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yellow"/>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yellow"/>
        </w:rPr>
      </w:pPr>
    </w:p>
    <w:p>
      <w:pPr>
        <w:pStyle w:val="P35"/>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yellow"/>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p>
    <w:p>
      <w:pPr>
        <w:pStyle w:val="P35"/>
      </w:pPr>
      <w:r>
        <w:t xml:space="preserve">Section </w:t>
      </w:r>
      <w:r>
        <w:rPr>
          <w:highlight w:val="yellow"/>
        </w:rPr>
        <w:t>[______ – ____________]</w:t>
      </w:r>
      <w:r>
        <w:t xml:space="preserve">:  </w:t>
      </w:r>
      <w:r>
        <w:rPr>
          <w:highlight w:val="yellow"/>
        </w:rPr>
        <w:t>[Optional short phrase indicating relationship]</w:t>
      </w:r>
      <w:r>
        <w:t>.</w:t>
      </w:r>
    </w:p>
    <w:p>
      <w:pPr>
        <w:pStyle w:val="P35"/>
      </w:pPr>
      <w:r>
        <w:t>Section 01250 – Substitutions</w:t>
      </w:r>
    </w:p>
    <w:p>
      <w:pPr>
        <w:pStyle w:val="P35"/>
      </w:pPr>
      <w:r>
        <w:t>Section 01425 - Computerized Maintenance Management System Data Requirements</w:t>
      </w:r>
    </w:p>
    <w:p>
      <w:pPr>
        <w:pStyle w:val="P35"/>
      </w:pPr>
      <w:r>
        <w:t>Section 01810 – Equipment Testing and Facility Commissioning</w:t>
      </w:r>
    </w:p>
    <w:p>
      <w:pPr>
        <w:pStyle w:val="P35"/>
      </w:pPr>
      <w:r>
        <w:t>Section 16010 – Electrical General Requirements</w:t>
      </w:r>
    </w:p>
    <w:p>
      <w:pPr>
        <w:pStyle w:val="P35"/>
      </w:pPr>
      <w:r>
        <w:rPr>
          <w:highlight w:val="yellow"/>
        </w:rPr>
        <w:t>[Division 13 – SCADA and Instrumentation - insert applicable specifications</w:t>
      </w:r>
      <w:r>
        <w:t>]</w:t>
      </w:r>
    </w:p>
    <w:p>
      <w:pPr>
        <w:pStyle w:val="P35"/>
      </w:pPr>
      <w:r>
        <w:t xml:space="preserve">Product requirements for </w:t>
      </w:r>
      <w:r>
        <w:rPr>
          <w:highlight w:val="yellow"/>
        </w:rPr>
        <w:t>[item]...</w:t>
      </w:r>
      <w:r>
        <w:t xml:space="preserve">  for installation under this Section</w:t>
      </w:r>
    </w:p>
    <w:p>
      <w:pPr>
        <w:pStyle w:val="P34"/>
      </w:pPr>
      <w:r>
        <w:t>References</w:t>
      </w:r>
    </w:p>
    <w:p>
      <w:pPr>
        <w:pStyle w:val="P35"/>
        <w:tabs>
          <w:tab w:val="left" w:pos="-2160" w:leader="none"/>
          <w:tab w:val="clear" w:pos="1440" w:leader="none"/>
        </w:tabs>
      </w:pPr>
      <w:r>
        <w:t>Canadian Standards Association (CSA)</w:t>
      </w:r>
    </w:p>
    <w:p>
      <w:pPr>
        <w:pStyle w:val="P1"/>
        <w:tabs>
          <w:tab w:val="clear" w:pos="360" w:leader="none"/>
          <w:tab w:val="left" w:pos="774" w:leader="none"/>
        </w:tabs>
      </w:pPr>
      <w:r>
        <w:t>Ontario Electrical Safety Code, 26</w:t>
      </w:r>
      <w:r>
        <w:rPr>
          <w:vertAlign w:val="superscript"/>
        </w:rPr>
        <w:t>th</w:t>
      </w:r>
      <w:r>
        <w:t xml:space="preserve"> edition, 2015</w:t>
      </w:r>
    </w:p>
    <w:p>
      <w:pPr>
        <w:pStyle w:val="P35"/>
        <w:tabs>
          <w:tab w:val="clear" w:pos="360" w:leader="none"/>
          <w:tab w:val="left" w:pos="774" w:leader="none"/>
        </w:tabs>
      </w:pPr>
      <w:r>
        <w:t>National Electrical Manufacturers Association</w:t>
      </w:r>
    </w:p>
    <w:p>
      <w:pPr>
        <w:pStyle w:val="P1"/>
        <w:tabs>
          <w:tab w:val="clear" w:pos="360" w:leader="none"/>
          <w:tab w:val="left" w:pos="774" w:leader="none"/>
        </w:tabs>
      </w:pPr>
      <w:r>
        <w:t>NEMA 250-2014 Enclosures for electrical equipment (1,000 V Maximum)</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 Data</w:t>
      </w:r>
    </w:p>
    <w:p>
      <w:pPr>
        <w:pStyle w:val="P35"/>
      </w:pPr>
      <w:r>
        <w:t xml:space="preserve">Submit product data in accordance with </w:t>
      </w:r>
      <w:r>
        <w:rPr>
          <w:highlight w:val="yellow"/>
        </w:rPr>
        <w:t>Section 01300 – Submittals</w:t>
      </w:r>
      <w:r>
        <w:t xml:space="preserve">. </w:t>
      </w:r>
    </w:p>
    <w:p>
      <w:pPr>
        <w:pStyle w:val="P35"/>
      </w:pPr>
      <w:r>
        <w:t>Submit the manufacturer's data for all disconnect switches.</w:t>
      </w:r>
    </w:p>
    <w:p>
      <w:pPr>
        <w:pStyle w:val="P35"/>
      </w:pPr>
      <w:r>
        <w:t>Identify the motor or equipment served by each switch on each nameplate inscription.</w:t>
      </w:r>
    </w:p>
    <w:p>
      <w:pPr>
        <w:pStyle w:val="P35"/>
      </w:pPr>
      <w:r>
        <w:t xml:space="preserve">All other required information as detailed in the equipment information template and electronically up-loadable to the CMMS (Maximo). Comply with </w:t>
      </w:r>
      <w:r>
        <w:rPr>
          <w:highlight w:val="yellow"/>
        </w:rPr>
        <w:t>Section 01425 - Computerized Maintenance Management System Data Requirements</w:t>
      </w:r>
    </w:p>
    <w:p>
      <w:pPr>
        <w:pStyle w:val="P33"/>
      </w:pPr>
      <w:r>
        <w:t>PRODUCTS</w:t>
      </w:r>
    </w:p>
    <w:p>
      <w:pPr>
        <w:pStyle w:val="P34"/>
      </w:pPr>
      <w:r>
        <w:t>Disconnect Switches</w:t>
      </w:r>
    </w:p>
    <w:p>
      <w:pPr>
        <w:pStyle w:val="P35"/>
      </w:pPr>
      <w:r>
        <w:t xml:space="preserve">Supply and install safety switches, fused or non-fused, as required complete with fuses as shown on the Contract Drawings or required by Ontario Electrical Code. </w:t>
      </w:r>
      <w:r>
        <w:rPr>
          <w:i w:val="1"/>
          <w:highlight w:val="yellow"/>
        </w:rPr>
        <w:t xml:space="preserve">[Consultant to amend </w:t>
      </w:r>
      <w:r>
        <w:rPr>
          <w:i w:val="1"/>
          <w:highlight w:val="yellow"/>
        </w:rPr>
        <w:t xml:space="preserve">previous sentence </w:t>
      </w:r>
      <w:r>
        <w:rPr>
          <w:i w:val="1"/>
          <w:highlight w:val="yellow"/>
        </w:rPr>
        <w:t>as required]</w:t>
      </w:r>
      <w:r>
        <w:t xml:space="preserve"> Safety switches shall be quick make and quick break construction with safety interlock and kW (HP) ratings as indicated in the Contract Documents. </w:t>
      </w:r>
    </w:p>
    <w:p>
      <w:pPr>
        <w:pStyle w:val="P35"/>
      </w:pPr>
      <w:r>
        <w:t>Fusible and non-fusible, disconnect switch in NEMA Enclosure type 1, size as indicated in the Contract Documents.</w:t>
      </w:r>
    </w:p>
    <w:p>
      <w:pPr>
        <w:pStyle w:val="P35"/>
      </w:pPr>
      <w:r>
        <w:t xml:space="preserve">Provision for padlocking in off switch position by </w:t>
      </w:r>
      <w:r>
        <w:rPr>
          <w:highlight w:val="yellow"/>
        </w:rPr>
        <w:t>[three]</w:t>
      </w:r>
      <w:r>
        <w:t xml:space="preserve"> locks. </w:t>
      </w:r>
    </w:p>
    <w:p>
      <w:pPr>
        <w:pStyle w:val="P35"/>
      </w:pPr>
      <w:r>
        <w:t xml:space="preserve">Mechanically interlocked door to prevent opening when the handle is in the ON position. </w:t>
      </w:r>
    </w:p>
    <w:p>
      <w:pPr>
        <w:pStyle w:val="P35"/>
      </w:pPr>
      <w:r>
        <w:t xml:space="preserve">Fuses: On load side of switch size as indicated in the Contract Documents. </w:t>
      </w:r>
    </w:p>
    <w:p>
      <w:pPr>
        <w:pStyle w:val="P35"/>
      </w:pPr>
      <w:r>
        <w:t xml:space="preserve">Fuse holders: re-locatable and suitable without adaptors, for type and size of fuse indicated in the Contract Documents. </w:t>
      </w:r>
    </w:p>
    <w:p>
      <w:pPr>
        <w:pStyle w:val="P35"/>
      </w:pPr>
      <w:r>
        <w:t xml:space="preserve">Quick-make, quick-break action. </w:t>
      </w:r>
    </w:p>
    <w:p>
      <w:pPr>
        <w:pStyle w:val="P35"/>
      </w:pPr>
      <w:r>
        <w:t xml:space="preserve">ON-OFF switch position indication on switch enclosure cover. </w:t>
      </w:r>
    </w:p>
    <w:p>
      <w:pPr>
        <w:pStyle w:val="P35"/>
      </w:pPr>
      <w:r>
        <w:t xml:space="preserve">Switches shall be housed in a NEMA </w:t>
      </w:r>
      <w:r>
        <w:rPr>
          <w:highlight w:val="yellow"/>
        </w:rPr>
        <w:t>[xx]</w:t>
      </w:r>
      <w:r>
        <w:t xml:space="preserve"> enclosure when located indoors and NEMA 4X enclosure when located outdoors.</w:t>
      </w:r>
    </w:p>
    <w:p>
      <w:pPr>
        <w:pStyle w:val="P35"/>
      </w:pPr>
      <w:r>
        <w:t>For switches 100A and over, provide non-tracking arc shrouds.</w:t>
      </w:r>
    </w:p>
    <w:p>
      <w:pPr>
        <w:pStyle w:val="P35"/>
      </w:pPr>
      <w:r>
        <w:t>Supply neutral bar.</w:t>
      </w:r>
    </w:p>
    <w:p>
      <w:pPr>
        <w:pStyle w:val="P35"/>
      </w:pPr>
      <w:r>
        <w:t>Provide ground bar for ground termination.</w:t>
      </w:r>
    </w:p>
    <w:p>
      <w:pPr>
        <w:pStyle w:val="P35"/>
      </w:pPr>
      <w:r>
        <w:t>Provide dry auxiliary contact interlocked with switch mechanism.</w:t>
      </w:r>
    </w:p>
    <w:p>
      <w:pPr>
        <w:pStyle w:val="P35"/>
      </w:pPr>
      <w:r>
        <w:t>There shall be a window in the door that allows for quick and easy viewing of the inside.</w:t>
      </w:r>
    </w:p>
    <w:p>
      <w:pPr>
        <w:pStyle w:val="P34"/>
      </w:pPr>
      <w:r>
        <w:t>Equipment Identification</w:t>
      </w:r>
    </w:p>
    <w:p>
      <w:pPr>
        <w:pStyle w:val="P35"/>
        <w:rPr>
          <w:highlight w:val="yellow"/>
        </w:rPr>
      </w:pPr>
      <w:r>
        <w:t xml:space="preserve">Provide equipment identification in accordance with </w:t>
      </w:r>
      <w:r>
        <w:rPr>
          <w:highlight w:val="yellow"/>
        </w:rPr>
        <w:t xml:space="preserve">Section 16010 - Electrical General Requirements. </w:t>
      </w:r>
    </w:p>
    <w:p>
      <w:pPr>
        <w:pStyle w:val="P35"/>
      </w:pPr>
      <w:r>
        <w:t xml:space="preserve">Indicate the name of the load controlled on a size 4 nameplate. </w:t>
      </w:r>
    </w:p>
    <w:p>
      <w:pPr>
        <w:pStyle w:val="P33"/>
      </w:pPr>
      <w:r>
        <w:t>EXECUTION</w:t>
      </w:r>
    </w:p>
    <w:p>
      <w:pPr>
        <w:pStyle w:val="P34"/>
      </w:pPr>
      <w:r>
        <w:t>Installation</w:t>
      </w:r>
    </w:p>
    <w:p>
      <w:pPr>
        <w:pStyle w:val="P35"/>
      </w:pPr>
      <w:r>
        <w:t>Install disconnect switches complete with fuses if applicable.</w:t>
      </w:r>
    </w:p>
    <w:p>
      <w:pPr>
        <w:pStyle w:val="P35"/>
        <w:rPr>
          <w:highlight w:val="yellow"/>
        </w:rPr>
      </w:pPr>
      <w:r>
        <w:t xml:space="preserve">Provide spare fuses after the completion of the fuse study and tests as defined in the Contract Documents. </w:t>
      </w:r>
      <w:r>
        <w:rPr>
          <w:highlight w:val="yellow"/>
        </w:rPr>
        <w:t xml:space="preserve">[Consultant to ensure the fuse study, testing procedures and coordination study referred to above are part of the Contract Documents.  Consultant to insert citation for where these documents are located in the Contract]</w:t>
      </w:r>
    </w:p>
    <w:p>
      <w:pPr>
        <w:pStyle w:val="P34"/>
      </w:pPr>
      <w:r>
        <w:t>Commissioning</w:t>
      </w:r>
    </w:p>
    <w:p>
      <w:pPr>
        <w:pStyle w:val="P35"/>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start of commissioning activities.</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16414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DISCONNECT SWITCHES – FUSED AND UNFUSED</w:t>
    </w:r>
    <w:r>
      <w:rPr>
        <w:rFonts w:ascii="Arial" w:hAnsi="Arial"/>
      </w:rPr>
      <w:tab/>
      <w:t>2013-06-25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16414</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DISCONNECT SWITCHES – FUSED AND UNFUSED</w:t>
    </w:r>
    <w:r>
      <w:rPr>
        <w:rFonts w:ascii="Calibri (Body)" w:hAnsi="Calibri (Body)"/>
        <w:sz w:val="22"/>
      </w:rPr>
      <w:tab/>
      <w:t>2017-02-10</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16414</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2017-02-10</w:t>
    </w:r>
    <w:r>
      <w:rPr>
        <w:rFonts w:ascii="Calibri (Body)" w:hAnsi="Calibri (Body)"/>
        <w:b w:val="1"/>
        <w:sz w:val="22"/>
      </w:rPr>
      <w:tab/>
      <w:t>DISCONNECT SWITCHES – FUSED AND UNFUSED</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3D736D7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4"/>
    <w:aliases w:val="Heading 4S"/>
    <w:basedOn w:val="P0"/>
    <w:next w:val="P1"/>
    <w:qFormat/>
    <w:pPr>
      <w:numPr>
        <w:ilvl w:val="3"/>
        <w:numId w:val="3"/>
      </w:numPr>
      <w:tabs>
        <w:tab w:val="left" w:pos="360" w:leader="none"/>
        <w:tab w:val="clear" w:pos="864" w:leader="none"/>
        <w:tab w:val="left" w:pos="2160" w:leader="none"/>
      </w:tabs>
      <w:ind w:hanging="720" w:left="2160"/>
      <w:outlineLvl w:val="3"/>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Plain Text"/>
    <w:basedOn w:val="P0"/>
    <w:next w:val="P25"/>
    <w:link w:val="C11"/>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3"/>
    <w:pPr>
      <w:tabs>
        <w:tab w:val="right" w:pos="8640" w:leader="dot"/>
      </w:tabs>
      <w:spacing w:after="0"/>
    </w:pPr>
    <w:rPr>
      <w:b w:val="1"/>
    </w:rPr>
  </w:style>
  <w:style w:type="paragraph" w:styleId="P32">
    <w:name w:val="Comment Subject"/>
    <w:basedOn w:val="P6"/>
    <w:next w:val="P6"/>
    <w:link w:val="C9"/>
    <w:pPr>
      <w:spacing w:before="0"/>
    </w:pPr>
    <w:rPr>
      <w:rFonts w:ascii="Book Antiqua" w:hAnsi="Book Antiqua"/>
      <w:b w:val="1"/>
      <w:sz w:val="20"/>
    </w:rPr>
  </w:style>
  <w:style w:type="paragraph" w:styleId="P33">
    <w:name w:val="Heading 1"/>
    <w:aliases w:val="Contents - level1 Char,Heading 1S"/>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aliases w:val="Heading 2S"/>
    <w:basedOn w:val="P8"/>
    <w:next w:val="P5"/>
    <w:link w:val="C10"/>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aliases w:val="Heading 3S"/>
    <w:basedOn w:val="P8"/>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5"/>
    <w:aliases w:val="Heading 5S"/>
    <w:basedOn w:val="P8"/>
    <w:next w:val="P36"/>
    <w:qFormat/>
    <w:pPr>
      <w:numPr>
        <w:ilvl w:val="4"/>
        <w:numId w:val="3"/>
      </w:numPr>
      <w:tabs>
        <w:tab w:val="clear" w:pos="720" w:leader="none"/>
        <w:tab w:val="left" w:pos="5760" w:leader="none"/>
      </w:tabs>
      <w:ind w:hanging="720" w:left="5760"/>
      <w:outlineLvl w:val="4"/>
    </w:pPr>
    <w:rPr>
      <w:rFonts w:ascii="Arial" w:hAnsi="Arial"/>
      <w:b w:val="0"/>
    </w:rPr>
  </w:style>
  <w:style w:type="paragraph" w:styleId="P37">
    <w:name w:val="Heading 6"/>
    <w:basedOn w:val="P8"/>
    <w:next w:val="P5"/>
    <w:qFormat/>
    <w:pPr>
      <w:numPr>
        <w:ilvl w:val="5"/>
        <w:numId w:val="3"/>
      </w:numPr>
      <w:outlineLvl w:val="5"/>
    </w:pPr>
    <w:rPr>
      <w:i w:val="1"/>
      <w:sz w:val="24"/>
    </w:rPr>
  </w:style>
  <w:style w:type="paragraph" w:styleId="P38">
    <w:name w:val="Caption"/>
    <w:basedOn w:val="P8"/>
    <w:next w:val="P0"/>
    <w:qFormat/>
    <w:pPr>
      <w:keepNext w:val="1"/>
      <w:spacing w:after="240"/>
    </w:pPr>
    <w:rPr>
      <w:b w:val="0"/>
      <w:i w:val="1"/>
      <w:sz w:val="20"/>
    </w:rPr>
  </w:style>
  <w:style w:type="paragraph" w:styleId="P39">
    <w:name w:val="Exhibit--Number"/>
    <w:basedOn w:val="P8"/>
    <w:next w:val="P45"/>
    <w:pPr>
      <w:spacing w:before="160"/>
    </w:pPr>
    <w:rPr>
      <w:caps w:val="1"/>
      <w:sz w:val="18"/>
    </w:rPr>
  </w:style>
  <w:style w:type="paragraph" w:styleId="P40">
    <w:name w:val="Title"/>
    <w:basedOn w:val="P8"/>
    <w:next w:val="P40"/>
    <w:qFormat/>
    <w:pPr>
      <w:keepNext w:val="1"/>
      <w:spacing w:before="160" w:after="30"/>
    </w:pPr>
    <w:rPr>
      <w:sz w:val="20"/>
    </w:rPr>
  </w:style>
  <w:style w:type="paragraph" w:styleId="P41">
    <w:name w:val="Table Body"/>
    <w:basedOn w:val="P13"/>
    <w:next w:val="P41"/>
    <w:pPr>
      <w:jc w:val="left"/>
    </w:pPr>
    <w:rPr>
      <w:b w:val="0"/>
    </w:rPr>
  </w:style>
  <w:style w:type="paragraph" w:styleId="P42">
    <w:name w:val="List Bullet"/>
    <w:basedOn w:val="P26"/>
    <w:next w:val="P42"/>
    <w:pPr>
      <w:numPr>
        <w:numId w:val="2"/>
      </w:numPr>
    </w:pPr>
    <w:rPr/>
  </w:style>
  <w:style w:type="paragraph" w:styleId="P43">
    <w:name w:val="TOC 2"/>
    <w:basedOn w:val="P31"/>
    <w:next w:val="P47"/>
    <w:pPr>
      <w:tabs>
        <w:tab w:val="left" w:pos="1008" w:leader="none"/>
      </w:tabs>
      <w:ind w:left="720"/>
    </w:pPr>
    <w:rPr>
      <w:b w:val="0"/>
    </w:rPr>
  </w:style>
  <w:style w:type="paragraph" w:styleId="P44">
    <w:name w:val="Contents"/>
    <w:basedOn w:val="P33"/>
    <w:next w:val="P5"/>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5"/>
    <w:pPr/>
    <w:rPr>
      <w:i w:val="1"/>
    </w:rPr>
  </w:style>
  <w:style w:type="paragraph" w:styleId="P49">
    <w:name w:val="TOC 4"/>
    <w:basedOn w:val="P47"/>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link w:val="P32"/>
    <w:rPr>
      <w:rFonts w:ascii="Book Antiqua" w:hAnsi="Book Antiqua"/>
      <w:b w:val="1"/>
      <w:sz w:val="20"/>
    </w:rPr>
  </w:style>
  <w:style w:type="character" w:styleId="C10">
    <w:name w:val="Heading 2 Char"/>
    <w:link w:val="P34"/>
    <w:rPr>
      <w:rFonts w:ascii="Calibri" w:hAnsi="Calibri"/>
      <w:b w:val="0"/>
      <w:u w:val="single"/>
    </w:rPr>
  </w:style>
  <w:style w:type="character" w:styleId="C11">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2017-02-15T18:43:00Z</dcterms:created>
  <cp:lastModifiedBy>Ray</cp:lastModifiedBy>
  <cp:lastPrinted>2006-08-30T13:39:00Z</cp:lastPrinted>
  <dcterms:modified xsi:type="dcterms:W3CDTF">2022-10-04T19:39:04Z</dcterms:modified>
  <cp:revision>3</cp:revision>
  <dc:title>16414_Disconnect_Switches_-_Fused_and_Unfused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77777-20-2585</vt:lpwstr>
  </property>
  <property fmtid="{D5CDD505-2E9C-101B-9397-08002B2CF9AE}" pid="5" name="_dlc_DocIdItemGuid">
    <vt:lpwstr>86d1a35d-c237-4405-be94-c31a3987d02e</vt:lpwstr>
  </property>
  <property fmtid="{D5CDD505-2E9C-101B-9397-08002B2CF9AE}" pid="6" name="_dlc_DocIdUrl">
    <vt:lpwstr>https://mycloud.york.ca/collab/CPDToolKit/_layouts/DocIdRedir.aspx?ID=77777-20-2585, 77777-20-2585</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