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7195086" Type="http://schemas.openxmlformats.org/officeDocument/2006/relationships/officeDocument" Target="word/document.xml"/><Relationship Id="coreR47195086" Type="http://schemas.openxmlformats.org/package/2006/relationships/metadata/core-properties" Target="docProps/core.xml"/><Relationship Id="customR4719508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Finalized Specification – Reference eDOCS #5630512  v7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p>
        </w:tc>
      </w:tr>
    </w:tbl>
    <w:p>
      <w:pPr>
        <w:pStyle w:val="P35"/>
        <w:numPr>
          <w:ilvl w:val="0"/>
          <w:numId w:val="0"/>
        </w:num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35"/>
      </w:pPr>
      <w:bookmarkEnd w:id="0"/>
      <w:bookmarkEnd w:id="1"/>
      <w:bookmarkEnd w:id="2"/>
      <w:r>
        <w:br w:type="page"/>
        <w:t>GEneral</w:t>
      </w:r>
    </w:p>
    <w:p>
      <w:pPr>
        <w:pStyle w:val="P36"/>
      </w:pPr>
      <w:r>
        <w:t>Related Sections</w:t>
      </w:r>
    </w:p>
    <w:p>
      <w:pPr>
        <w:pStyle w:val="P37"/>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lightGray"/>
        </w:rPr>
      </w:pPr>
    </w:p>
    <w:p>
      <w:pPr>
        <w:pStyle w:val="P37"/>
        <w:numPr>
          <w:ilvl w:val="2"/>
          <w:numId w:val="0"/>
        </w:numPr>
        <w:ind w:left="720"/>
        <w:rPr>
          <w:highlight w:val="lightGray"/>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yellow"/>
        </w:rPr>
      </w:pPr>
    </w:p>
    <w:p>
      <w:pPr>
        <w:pStyle w:val="P37"/>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lightGray"/>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r>
        <w:rPr>
          <w:highlight w:val="yellow"/>
        </w:rPr>
        <w:t>[List Sections specifying related requirements.]</w:t>
      </w:r>
    </w:p>
    <w:p>
      <w:pPr>
        <w:pStyle w:val="P37"/>
      </w:pPr>
      <w:r>
        <w:t xml:space="preserve">Section </w:t>
      </w:r>
      <w:r>
        <w:rPr>
          <w:highlight w:val="yellow"/>
        </w:rPr>
        <w:t xml:space="preserve">[______ – ____________]:  [Optional short phrase indicating relationship].</w:t>
      </w:r>
    </w:p>
    <w:p>
      <w:pPr>
        <w:pStyle w:val="P37"/>
      </w:pPr>
      <w:r>
        <w:t xml:space="preserve">Section 01300 – </w:t>
      </w:r>
      <w:r>
        <w:rPr>
          <w:color w:val="000000"/>
        </w:rPr>
        <w:t>Submittals</w:t>
      </w:r>
    </w:p>
    <w:p>
      <w:pPr>
        <w:pStyle w:val="P37"/>
      </w:pPr>
      <w:r>
        <w:t>Section 01425 - Computerized Maintenance Management System Data Requirements</w:t>
      </w:r>
    </w:p>
    <w:p>
      <w:pPr>
        <w:pStyle w:val="P37"/>
      </w:pPr>
      <w:r>
        <w:t>Section 01810 – Equipment Testing and Facility Commissioning</w:t>
      </w:r>
    </w:p>
    <w:p>
      <w:pPr>
        <w:pStyle w:val="P37"/>
      </w:pPr>
      <w:r>
        <w:t>Section 16010 – Electrical General Requirements</w:t>
      </w:r>
    </w:p>
    <w:p>
      <w:pPr>
        <w:pStyle w:val="P37"/>
      </w:pPr>
      <w:r>
        <w:t>Section 16412 – Moulded Case Circuit Breakers</w:t>
      </w:r>
    </w:p>
    <w:p>
      <w:pPr>
        <w:pStyle w:val="P37"/>
        <w:rPr>
          <w:highlight w:val="yellow"/>
        </w:rPr>
      </w:pPr>
      <w:r>
        <w:rPr>
          <w:highlight w:val="yellow"/>
        </w:rPr>
        <w:t>[Division 13 – SCADA and Instrumentation -insert applicable specifications]</w:t>
      </w:r>
    </w:p>
    <w:p>
      <w:pPr>
        <w:pStyle w:val="P37"/>
      </w:pPr>
      <w:r>
        <w:t xml:space="preserve">Product requirements for </w:t>
      </w:r>
      <w:r>
        <w:rPr>
          <w:highlight w:val="yellow"/>
        </w:rPr>
        <w:t>[item]...</w:t>
      </w:r>
      <w:r>
        <w:t xml:space="preserve">  for installation under this Section.</w:t>
      </w:r>
    </w:p>
    <w:p>
      <w:pPr>
        <w:pStyle w:val="P36"/>
        <w:numPr>
          <w:ilvl w:val="1"/>
          <w:numId w:val="11"/>
        </w:numPr>
      </w:pPr>
      <w:r>
        <w:t xml:space="preserve">References  </w:t>
      </w:r>
    </w:p>
    <w:p>
      <w:pPr>
        <w:pStyle w:val="P37"/>
      </w:pPr>
      <w:r>
        <w:t>ANSI/NEMA</w:t>
      </w:r>
    </w:p>
    <w:p>
      <w:pPr>
        <w:pStyle w:val="P2"/>
      </w:pPr>
      <w:r>
        <w:t>ANSI/NEMA PB 1 -2011, Panelboards.</w:t>
      </w:r>
    </w:p>
    <w:p>
      <w:pPr>
        <w:pStyle w:val="P2"/>
      </w:pPr>
      <w:r>
        <w:t>ANSI/NEMA PB 1.1-2013, General Instructions for Proper Installation, Operation and Maintenance of Panelboards Rated 600 V or Less.</w:t>
      </w:r>
    </w:p>
    <w:p>
      <w:pPr>
        <w:pStyle w:val="P37"/>
        <w:numPr>
          <w:ilvl w:val="2"/>
          <w:numId w:val="11"/>
        </w:numPr>
        <w:tabs>
          <w:tab w:val="clear" w:pos="720" w:leader="none"/>
          <w:tab w:val="left" w:pos="1440" w:leader="none"/>
        </w:tabs>
        <w:ind w:hanging="720" w:left="1440"/>
      </w:pPr>
      <w:r>
        <w:t>Ontario Electrical Code</w:t>
      </w:r>
    </w:p>
    <w:p>
      <w:pPr>
        <w:pStyle w:val="P37"/>
        <w:numPr>
          <w:ilvl w:val="2"/>
          <w:numId w:val="11"/>
        </w:numPr>
        <w:tabs>
          <w:tab w:val="clear" w:pos="720" w:leader="none"/>
          <w:tab w:val="left" w:pos="1440" w:leader="none"/>
        </w:tabs>
        <w:ind w:hanging="720" w:left="1440"/>
      </w:pPr>
      <w:r>
        <w:t xml:space="preserve">National Fire Protection Association (NFPA) </w:t>
      </w:r>
    </w:p>
    <w:p>
      <w:pPr>
        <w:pStyle w:val="P2"/>
        <w:numPr>
          <w:ilvl w:val="3"/>
          <w:numId w:val="11"/>
        </w:numPr>
        <w:tabs>
          <w:tab w:val="clear" w:pos="864" w:leader="none"/>
          <w:tab w:val="left" w:pos="2160" w:leader="none"/>
        </w:tabs>
        <w:ind w:hanging="720" w:left="2160"/>
      </w:pPr>
      <w:r>
        <w:t>National Electrical Code 70.</w:t>
      </w:r>
    </w:p>
    <w:p>
      <w:pPr>
        <w:pStyle w:val="P37"/>
        <w:numPr>
          <w:ilvl w:val="2"/>
          <w:numId w:val="11"/>
        </w:numPr>
        <w:tabs>
          <w:tab w:val="clear" w:pos="720" w:leader="none"/>
          <w:tab w:val="left" w:pos="1440" w:leader="none"/>
        </w:tabs>
        <w:ind w:hanging="720" w:left="1440"/>
      </w:pPr>
      <w:r>
        <w:t>Canadian Standards Association (CSA)</w:t>
      </w:r>
    </w:p>
    <w:p>
      <w:pPr>
        <w:pStyle w:val="P2"/>
        <w:numPr>
          <w:ilvl w:val="3"/>
          <w:numId w:val="11"/>
        </w:numPr>
        <w:tabs>
          <w:tab w:val="clear" w:pos="864" w:leader="none"/>
          <w:tab w:val="left" w:pos="2160" w:leader="none"/>
        </w:tabs>
        <w:ind w:hanging="720" w:left="2160"/>
      </w:pPr>
      <w:r>
        <w:t>CSA C22.2 No.29-11, Panelboards and Enclosed Panelboards.</w:t>
      </w:r>
    </w:p>
    <w:p>
      <w:pPr>
        <w:pStyle w:val="P37"/>
        <w:numPr>
          <w:ilvl w:val="2"/>
          <w:numId w:val="11"/>
        </w:numPr>
        <w:tabs>
          <w:tab w:val="clear" w:pos="720" w:leader="none"/>
          <w:tab w:val="left" w:pos="1440" w:leader="none"/>
        </w:tabs>
        <w:ind w:hanging="720" w:left="1440"/>
      </w:pPr>
      <w:r>
        <w:t>Underwriters Laboratories, (UL Canada)</w:t>
      </w:r>
    </w:p>
    <w:p>
      <w:pPr>
        <w:pStyle w:val="P2"/>
        <w:numPr>
          <w:ilvl w:val="3"/>
          <w:numId w:val="11"/>
        </w:numPr>
        <w:tabs>
          <w:tab w:val="clear" w:pos="864" w:leader="none"/>
          <w:tab w:val="left" w:pos="2160" w:leader="none"/>
        </w:tabs>
        <w:ind w:hanging="720" w:left="2160"/>
      </w:pPr>
      <w:r>
        <w:t>UL 67 Panelboards.</w:t>
      </w:r>
    </w:p>
    <w:p>
      <w:pPr>
        <w:pStyle w:val="P36"/>
      </w:pPr>
      <w:r>
        <w:t>Shop Drawings</w:t>
      </w:r>
    </w:p>
    <w:p>
      <w:pPr>
        <w:pStyle w:val="P37"/>
      </w:pPr>
      <w:r>
        <w:t xml:space="preserve">Submit shop drawings in accordance with </w:t>
      </w:r>
      <w:r>
        <w:rPr>
          <w:highlight w:val="yellow"/>
        </w:rPr>
        <w:t>Section 01300 – Submittals.</w:t>
      </w:r>
      <w:r>
        <w:t xml:space="preserve"> </w:t>
      </w:r>
    </w:p>
    <w:p>
      <w:pPr>
        <w:pStyle w:val="P37"/>
      </w:pPr>
      <w:r>
        <w:t>Drawings shall include electrical details of panel, branch breaker type, quantity, ampacity and enclosure dimension.</w:t>
      </w:r>
    </w:p>
    <w:p>
      <w:pPr>
        <w:pStyle w:val="P35"/>
      </w:pPr>
      <w:r>
        <w:t>PRODUCTS</w:t>
      </w:r>
    </w:p>
    <w:p>
      <w:pPr>
        <w:pStyle w:val="P36"/>
      </w:pPr>
      <w:r>
        <w:t>Panelboards</w:t>
      </w:r>
    </w:p>
    <w:p>
      <w:pPr>
        <w:pStyle w:val="P37"/>
      </w:pPr>
      <w:r>
        <w:t xml:space="preserve">Panelboards: shall be the product of one manufacturer. </w:t>
      </w:r>
    </w:p>
    <w:p>
      <w:pPr>
        <w:pStyle w:val="P2"/>
      </w:pPr>
      <w:r>
        <w:t xml:space="preserve">Install circuit breakers in panelboards before shipment. </w:t>
      </w:r>
    </w:p>
    <w:p>
      <w:pPr>
        <w:pStyle w:val="P2"/>
      </w:pPr>
      <w:r>
        <w:t xml:space="preserve">In addition to CSA requirements (C22.2 No. 29-11), the manufacturer's nameplate must show the fault current that the panel, including breakers, has been built to withstand. </w:t>
      </w:r>
    </w:p>
    <w:p>
      <w:pPr>
        <w:pStyle w:val="P37"/>
      </w:pPr>
      <w:r>
        <w:rPr>
          <w:highlight w:val="yellow"/>
        </w:rPr>
        <w:t>[347][600]</w:t>
      </w:r>
      <w:r>
        <w:t xml:space="preserve"> V panelboards: bus and breakers rated for 22,000 A (symmetrical) interrupting capacity or as indicated by the Co-ordination Study </w:t>
      </w:r>
      <w:r>
        <w:rPr>
          <w:highlight w:val="yellow"/>
        </w:rPr>
        <w:t>[</w:t>
      </w:r>
      <w:r>
        <w:rPr>
          <w:i w:val="1"/>
          <w:highlight w:val="yellow"/>
        </w:rPr>
        <w:t>Consultant to insert citation to Section detailing Coordination Study or to indicate whether the study already exists]</w:t>
      </w:r>
      <w:r>
        <w:t xml:space="preserve"> to determine the thousand ampere interrupting capacity (KAIC) which shall be a minimum of </w:t>
      </w:r>
      <w:r>
        <w:rPr>
          <w:highlight w:val="yellow"/>
        </w:rPr>
        <w:t>[18,000]</w:t>
      </w:r>
      <w:r>
        <w:t xml:space="preserve"> A.</w:t>
      </w:r>
      <w:r>
        <w:rPr>
          <w:i w:val="1"/>
          <w:highlight w:val="yellow"/>
        </w:rPr>
        <w:t xml:space="preserve">[Consultant to confirm </w:t>
      </w:r>
      <w:r>
        <w:rPr>
          <w:i w:val="1"/>
          <w:highlight w:val="yellow"/>
        </w:rPr>
        <w:t xml:space="preserve">capacity </w:t>
      </w:r>
      <w:r>
        <w:rPr>
          <w:i w:val="1"/>
          <w:highlight w:val="yellow"/>
        </w:rPr>
        <w:t>and amend as required</w:t>
      </w:r>
      <w:r>
        <w:rPr>
          <w:i w:val="1"/>
          <w:highlight w:val="yellow"/>
        </w:rPr>
        <w:t xml:space="preserve">. Consultant to consider </w:t>
      </w:r>
      <w:r>
        <w:rPr>
          <w:i w:val="1"/>
          <w:highlight w:val="yellow"/>
        </w:rPr>
        <w:t xml:space="preserve">whether </w:t>
      </w:r>
      <w:r>
        <w:rPr>
          <w:i w:val="1"/>
          <w:highlight w:val="yellow"/>
        </w:rPr>
        <w:t xml:space="preserve">Short Circuit Study </w:t>
      </w:r>
      <w:r>
        <w:rPr>
          <w:i w:val="1"/>
        </w:rPr>
        <w:t>is required and amend this Section as required]</w:t>
      </w:r>
    </w:p>
    <w:p>
      <w:pPr>
        <w:pStyle w:val="P37"/>
      </w:pPr>
      <w:r>
        <w:t>All branch breakers shall be bolt-on type.</w:t>
      </w:r>
    </w:p>
    <w:p>
      <w:pPr>
        <w:pStyle w:val="P37"/>
      </w:pPr>
      <w:r>
        <w:t>Provide barriers for the main breaker.</w:t>
      </w:r>
    </w:p>
    <w:p>
      <w:pPr>
        <w:pStyle w:val="P37"/>
      </w:pPr>
      <w:r>
        <w:t xml:space="preserve">Sequence phase bussing with odd numbered breakers on the left and even on the right, with each breaker identified by permanent number identification as to circuit number and phase. </w:t>
      </w:r>
    </w:p>
    <w:p>
      <w:pPr>
        <w:pStyle w:val="P37"/>
      </w:pPr>
      <w:r>
        <w:t xml:space="preserve">Panelboards: mains, number of circuits, and number and size of branch circuit breakers as indicated in the Contract Documents. </w:t>
      </w:r>
    </w:p>
    <w:p>
      <w:pPr>
        <w:pStyle w:val="P37"/>
      </w:pPr>
      <w:r>
        <w:t xml:space="preserve">Two keys for each panelboard and key panelboards alike. </w:t>
      </w:r>
    </w:p>
    <w:p>
      <w:pPr>
        <w:pStyle w:val="P37"/>
      </w:pPr>
      <w:r>
        <w:t xml:space="preserve">Copper bus with neutral of same ampere rating as mains. </w:t>
      </w:r>
    </w:p>
    <w:p>
      <w:pPr>
        <w:pStyle w:val="P37"/>
      </w:pPr>
      <w:r>
        <w:t xml:space="preserve">Mains: suitable for bolt-on breakers. </w:t>
      </w:r>
    </w:p>
    <w:p>
      <w:pPr>
        <w:pStyle w:val="P37"/>
      </w:pPr>
      <w:r>
        <w:t xml:space="preserve">Trim with concealed front bolts and hinges. </w:t>
      </w:r>
    </w:p>
    <w:p>
      <w:pPr>
        <w:pStyle w:val="P37"/>
      </w:pPr>
      <w:r>
        <w:t>Trim and door finish: baked grey enamel.</w:t>
      </w:r>
    </w:p>
    <w:p>
      <w:pPr>
        <w:pStyle w:val="P37"/>
      </w:pPr>
      <w:r>
        <w:t>Each panelboard shall contain a minimum of four spare circuits (unused) as shown on the Contract Drawings.</w:t>
      </w:r>
      <w:r>
        <w:rPr>
          <w:i w:val="1"/>
        </w:rPr>
        <w:t xml:space="preserve"> </w:t>
      </w:r>
      <w:r>
        <w:rPr>
          <w:i w:val="1"/>
          <w:highlight w:val="yellow"/>
        </w:rPr>
        <w:t>[Consultant to ensure spare circuits are defined in the Contract Drawings]</w:t>
      </w:r>
      <w:r>
        <w:t xml:space="preserve"> </w:t>
      </w:r>
    </w:p>
    <w:p>
      <w:pPr>
        <w:pStyle w:val="P36"/>
      </w:pPr>
      <w:r>
        <w:t>Custom Built Panelboard Assemblies</w:t>
      </w:r>
    </w:p>
    <w:p>
      <w:pPr>
        <w:pStyle w:val="P37"/>
      </w:pPr>
      <w:r>
        <w:t xml:space="preserve">125 mm relay section on both sides of panels as indicated in the Contract Documents for installation of low voltage remote control switching components. </w:t>
      </w:r>
    </w:p>
    <w:p>
      <w:pPr>
        <w:pStyle w:val="P37"/>
      </w:pPr>
      <w:r>
        <w:t xml:space="preserve">Double stack panels as indicated in the Contract Documents. </w:t>
      </w:r>
    </w:p>
    <w:p>
      <w:pPr>
        <w:pStyle w:val="P37"/>
      </w:pPr>
      <w:r>
        <w:t xml:space="preserve">Contactors in mains as indicated in the Contract Documents. </w:t>
      </w:r>
    </w:p>
    <w:p>
      <w:pPr>
        <w:pStyle w:val="P37"/>
      </w:pPr>
      <w:r>
        <w:t xml:space="preserve">Feed through lugs as indicated in the Contract Documents. </w:t>
      </w:r>
    </w:p>
    <w:p>
      <w:pPr>
        <w:pStyle w:val="P37"/>
      </w:pPr>
      <w:r>
        <w:t xml:space="preserve">Isolated ground bus. </w:t>
      </w:r>
    </w:p>
    <w:p>
      <w:pPr>
        <w:pStyle w:val="P36"/>
      </w:pPr>
      <w:r>
        <w:t>Breakers</w:t>
      </w:r>
    </w:p>
    <w:p>
      <w:pPr>
        <w:pStyle w:val="P37"/>
      </w:pPr>
      <w:r>
        <w:t xml:space="preserve">Breakers: in accordance with the requirements of </w:t>
      </w:r>
      <w:r>
        <w:rPr>
          <w:highlight w:val="yellow"/>
        </w:rPr>
        <w:t>Section 16412 - Moulded Case Circuit Breakers</w:t>
      </w:r>
      <w:r>
        <w:t xml:space="preserve">. </w:t>
      </w:r>
    </w:p>
    <w:p>
      <w:pPr>
        <w:pStyle w:val="P37"/>
      </w:pPr>
      <w:r>
        <w:t xml:space="preserve">Breakers with thermal and magnetic tripping in panelboards except where indicated otherwise in the Contract Documents. </w:t>
      </w:r>
    </w:p>
    <w:p>
      <w:pPr>
        <w:pStyle w:val="P37"/>
      </w:pPr>
      <w:r>
        <w:t xml:space="preserve">Main breaker: separately mounted on top or bottom of panel to suit cable entry. When mounted vertically, the down position should open the breaker. </w:t>
      </w:r>
    </w:p>
    <w:p>
      <w:pPr>
        <w:pStyle w:val="P36"/>
      </w:pPr>
      <w:r>
        <w:t>Equipment Identification</w:t>
      </w:r>
    </w:p>
    <w:p>
      <w:pPr>
        <w:pStyle w:val="P37"/>
      </w:pPr>
      <w:r>
        <w:t xml:space="preserve">Provide equipment identification in accordance with </w:t>
      </w:r>
      <w:r>
        <w:rPr>
          <w:highlight w:val="yellow"/>
        </w:rPr>
        <w:t>Section 16010 - Electrical General Requirements.</w:t>
      </w:r>
      <w:r>
        <w:t xml:space="preserve"> </w:t>
      </w:r>
    </w:p>
    <w:p>
      <w:pPr>
        <w:pStyle w:val="P37"/>
        <w:rPr>
          <w:highlight w:val="yellow"/>
        </w:rPr>
      </w:pPr>
      <w:r>
        <w:t xml:space="preserve">Refer to </w:t>
      </w:r>
      <w:r>
        <w:rPr>
          <w:highlight w:val="yellow"/>
        </w:rPr>
        <w:t>Section 01425 - Computerized Maintenance Management System Data Requirements.</w:t>
      </w:r>
    </w:p>
    <w:p>
      <w:pPr>
        <w:pStyle w:val="P37"/>
      </w:pPr>
      <w:r>
        <w:t xml:space="preserve">Nameplate for each panelboard size 4 engraved as indicated in the Contract Documents. </w:t>
      </w:r>
    </w:p>
    <w:p>
      <w:pPr>
        <w:pStyle w:val="P37"/>
      </w:pPr>
      <w:r>
        <w:t>Nameplate for each circuit in distribution panelboards size 2 engraved as indicated in the Contract Documents.</w:t>
      </w:r>
    </w:p>
    <w:p>
      <w:pPr>
        <w:pStyle w:val="P37"/>
      </w:pPr>
      <w:r>
        <w:t xml:space="preserve">Complete circuit directory with typewritten legend showing the location and load of each circuit. </w:t>
      </w:r>
    </w:p>
    <w:p>
      <w:pPr>
        <w:pStyle w:val="P35"/>
      </w:pPr>
      <w:r>
        <w:t>EXECUTION</w:t>
      </w:r>
    </w:p>
    <w:p>
      <w:pPr>
        <w:pStyle w:val="P36"/>
      </w:pPr>
      <w:r>
        <w:t>Installation</w:t>
      </w:r>
    </w:p>
    <w:p>
      <w:pPr>
        <w:pStyle w:val="P37"/>
      </w:pPr>
      <w:r>
        <w:t xml:space="preserve">Locate panelboards as indicated on the Contract Drawings and mount securely, plumb, true and square, to adjoining surfaces. </w:t>
      </w:r>
    </w:p>
    <w:p>
      <w:pPr>
        <w:pStyle w:val="P37"/>
      </w:pPr>
      <w:r>
        <w:t xml:space="preserve">Install surface mounted panelboards on fire rated backboards (as per Ontario Electrical Code). Where practical, group panelboards on a common backboard. </w:t>
      </w:r>
    </w:p>
    <w:p>
      <w:pPr>
        <w:pStyle w:val="P37"/>
      </w:pPr>
      <w:r>
        <w:t xml:space="preserve">Mount panelboards to the height specified </w:t>
      </w:r>
      <w:r>
        <w:rPr>
          <w:highlight w:val="yellow"/>
        </w:rPr>
        <w:t>in Section 16010 - Electrical General Requirements</w:t>
      </w:r>
      <w:r>
        <w:t xml:space="preserve"> or as indicated in the Contract Documents. </w:t>
      </w:r>
    </w:p>
    <w:p>
      <w:pPr>
        <w:pStyle w:val="P37"/>
      </w:pPr>
      <w:r>
        <w:t xml:space="preserve">Connect loads to circuits. </w:t>
      </w:r>
    </w:p>
    <w:p>
      <w:pPr>
        <w:pStyle w:val="P37"/>
      </w:pPr>
      <w:r>
        <w:t>Connect neutral conductors to common neutral bus with respective neutral identified.</w:t>
      </w:r>
    </w:p>
    <w:p>
      <w:pPr>
        <w:pStyle w:val="P36"/>
      </w:pPr>
      <w:r>
        <w:t>Commissioning</w:t>
      </w:r>
    </w:p>
    <w:p>
      <w:pPr>
        <w:pStyle w:val="P37"/>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16441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PANELBOARDS BREAKER TYPE</w:t>
    </w:r>
    <w:r>
      <w:rPr>
        <w:rFonts w:ascii="Arial" w:hAnsi="Arial"/>
      </w:rPr>
      <w:tab/>
      <w:t>2013-07-02</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16441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PANELBOARDS BREAKER TYPE</w:t>
    </w:r>
    <w:r>
      <w:rPr>
        <w:rFonts w:ascii="Calibri (Body)" w:hAnsi="Calibri (Body)"/>
        <w:sz w:val="22"/>
      </w:rPr>
      <w:tab/>
      <w:t>2015-02-04</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2"/>
      <w:spacing w:after="240"/>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16441</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2015-02-04</w:t>
    </w:r>
    <w:r>
      <w:rPr>
        <w:rFonts w:ascii="Calibri (Body)" w:hAnsi="Calibri (Body)"/>
        <w:b w:val="1"/>
        <w:sz w:val="22"/>
      </w:rPr>
      <w:tab/>
      <w:t>PANELBOARDS BREAKER TYPE</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2"/>
    </w:pPr>
  </w:p>
</w:hdr>
</file>

<file path=word/numbering.xml><?xml version="1.0" encoding="utf-8"?>
<w:numbering xmlns:w="http://schemas.openxmlformats.org/wordprocessingml/2006/main">
  <w:abstractNum w:abstractNumId="0">
    <w:nsid w:val="FFFFFF89"/>
    <w:multiLevelType w:val="hybridMultilevel"/>
    <w:lvl w:ilvl="0" w:tplc="4DC08EC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i w:val="0"/>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4"/>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4"/>
    <w:basedOn w:val="P0"/>
    <w:next w:val="P2"/>
    <w:qFormat/>
    <w:pPr>
      <w:numPr>
        <w:ilvl w:val="3"/>
        <w:numId w:val="3"/>
      </w:numPr>
      <w:tabs>
        <w:tab w:val="clear" w:pos="864" w:leader="none"/>
        <w:tab w:val="left" w:pos="2160" w:leader="none"/>
      </w:tabs>
      <w:ind w:hanging="720" w:left="2160"/>
      <w:outlineLvl w:val="3"/>
    </w:pPr>
    <w:rPr>
      <w:rFonts w:ascii="Calibri" w:hAnsi="Calibri"/>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8"/>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pPr/>
    <w:rPr>
      <w:rFonts w:ascii="Tahoma" w:hAnsi="Tahoma"/>
      <w:sz w:val="16"/>
    </w:rPr>
  </w:style>
  <w:style w:type="paragraph" w:styleId="P26">
    <w:name w:val="Normal (Web)"/>
    <w:basedOn w:val="P0"/>
    <w:next w:val="P26"/>
    <w:pPr>
      <w:spacing w:before="100" w:after="100" w:beforeAutospacing="1" w:afterAutospacing="1"/>
    </w:pPr>
    <w:rPr>
      <w:rFonts w:ascii="Times New Roman" w:hAnsi="Times New Roman"/>
      <w:sz w:val="24"/>
    </w:rPr>
  </w:style>
  <w:style w:type="paragraph" w:styleId="P27">
    <w:name w:val="EndOfSection"/>
    <w:basedOn w:val="P0"/>
    <w:next w:val="P27"/>
    <w:pPr>
      <w:spacing w:before="600"/>
      <w:jc w:val="center"/>
    </w:pPr>
    <w:rPr>
      <w:rFonts w:ascii="Times New Roman" w:hAnsi="Times New Roman"/>
      <w:b w:val="1"/>
    </w:rPr>
  </w:style>
  <w:style w:type="paragraph" w:styleId="P28">
    <w:name w:val="Bullet"/>
    <w:basedOn w:val="P6"/>
    <w:next w:val="P6"/>
    <w:pPr/>
    <w:rPr/>
  </w:style>
  <w:style w:type="paragraph" w:styleId="P29">
    <w:name w:val="CSA"/>
    <w:basedOn w:val="P6"/>
    <w:next w:val="P35"/>
    <w:pPr>
      <w:keepNext w:val="1"/>
      <w:spacing w:after="0"/>
    </w:pPr>
    <w:rPr>
      <w:b w:val="1"/>
      <w:caps w:val="1"/>
      <w:sz w:val="20"/>
    </w:rPr>
  </w:style>
  <w:style w:type="paragraph" w:styleId="P30">
    <w:name w:val="Footnote Text"/>
    <w:basedOn w:val="P6"/>
    <w:next w:val="P30"/>
    <w:pPr>
      <w:spacing w:after="0"/>
    </w:pPr>
    <w:rPr>
      <w:rFonts w:ascii="Arial" w:hAnsi="Arial"/>
      <w:sz w:val="16"/>
    </w:rPr>
  </w:style>
  <w:style w:type="paragraph" w:styleId="P31">
    <w:name w:val="Number"/>
    <w:basedOn w:val="P6"/>
    <w:next w:val="P6"/>
    <w:pPr>
      <w:spacing w:after="0"/>
      <w:ind w:hanging="360" w:left="360"/>
    </w:pPr>
    <w:rPr/>
  </w:style>
  <w:style w:type="paragraph" w:styleId="P32">
    <w:name w:val="Tick"/>
    <w:basedOn w:val="P6"/>
    <w:next w:val="P6"/>
    <w:pPr>
      <w:spacing w:after="0"/>
      <w:ind w:hanging="360" w:left="720"/>
    </w:pPr>
    <w:rPr/>
  </w:style>
  <w:style w:type="paragraph" w:styleId="P33">
    <w:name w:val="TOC 1"/>
    <w:basedOn w:val="P6"/>
    <w:next w:val="P45"/>
    <w:pPr>
      <w:tabs>
        <w:tab w:val="right" w:pos="8640" w:leader="dot"/>
      </w:tabs>
      <w:spacing w:after="0"/>
    </w:pPr>
    <w:rPr>
      <w:b w:val="1"/>
    </w:rPr>
  </w:style>
  <w:style w:type="paragraph" w:styleId="P34">
    <w:name w:val="Comment Subject"/>
    <w:basedOn w:val="P7"/>
    <w:next w:val="P7"/>
    <w:link w:val="C9"/>
    <w:pPr>
      <w:spacing w:before="0"/>
    </w:pPr>
    <w:rPr>
      <w:rFonts w:ascii="Book Antiqua" w:hAnsi="Book Antiqua"/>
      <w:b w:val="1"/>
      <w:sz w:val="20"/>
    </w:rPr>
  </w:style>
  <w:style w:type="paragraph" w:styleId="P35">
    <w:name w:val="Heading 1"/>
    <w:basedOn w:val="P9"/>
    <w:next w:val="P6"/>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6">
    <w:name w:val="Heading 2"/>
    <w:basedOn w:val="P9"/>
    <w:next w:val="P6"/>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7">
    <w:name w:val="Heading 3"/>
    <w:basedOn w:val="P9"/>
    <w:next w:val="P37"/>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8">
    <w:name w:val="Heading 5"/>
    <w:basedOn w:val="P9"/>
    <w:next w:val="P38"/>
    <w:qFormat/>
    <w:pPr>
      <w:numPr>
        <w:ilvl w:val="4"/>
        <w:numId w:val="3"/>
      </w:numPr>
      <w:tabs>
        <w:tab w:val="clear" w:pos="720" w:leader="none"/>
        <w:tab w:val="left" w:pos="5760" w:leader="none"/>
      </w:tabs>
      <w:ind w:hanging="720" w:left="5760"/>
      <w:outlineLvl w:val="4"/>
    </w:pPr>
    <w:rPr>
      <w:rFonts w:ascii="Arial" w:hAnsi="Arial"/>
      <w:b w:val="0"/>
    </w:rPr>
  </w:style>
  <w:style w:type="paragraph" w:styleId="P39">
    <w:name w:val="Heading 6"/>
    <w:basedOn w:val="P9"/>
    <w:next w:val="P6"/>
    <w:qFormat/>
    <w:pPr>
      <w:numPr>
        <w:ilvl w:val="5"/>
        <w:numId w:val="3"/>
      </w:numPr>
      <w:outlineLvl w:val="5"/>
    </w:pPr>
    <w:rPr>
      <w:i w:val="1"/>
      <w:sz w:val="24"/>
    </w:rPr>
  </w:style>
  <w:style w:type="paragraph" w:styleId="P40">
    <w:name w:val="Caption"/>
    <w:basedOn w:val="P9"/>
    <w:next w:val="P0"/>
    <w:qFormat/>
    <w:pPr>
      <w:keepNext w:val="1"/>
      <w:spacing w:after="240"/>
    </w:pPr>
    <w:rPr>
      <w:b w:val="0"/>
      <w:i w:val="1"/>
      <w:sz w:val="20"/>
    </w:rPr>
  </w:style>
  <w:style w:type="paragraph" w:styleId="P41">
    <w:name w:val="Exhibit--Number"/>
    <w:basedOn w:val="P9"/>
    <w:next w:val="P47"/>
    <w:pPr>
      <w:spacing w:before="160"/>
    </w:pPr>
    <w:rPr>
      <w:caps w:val="1"/>
      <w:sz w:val="18"/>
    </w:rPr>
  </w:style>
  <w:style w:type="paragraph" w:styleId="P42">
    <w:name w:val="Title"/>
    <w:basedOn w:val="P9"/>
    <w:next w:val="P42"/>
    <w:qFormat/>
    <w:pPr>
      <w:keepNext w:val="1"/>
      <w:spacing w:before="160" w:after="30"/>
    </w:pPr>
    <w:rPr>
      <w:sz w:val="20"/>
    </w:rPr>
  </w:style>
  <w:style w:type="paragraph" w:styleId="P43">
    <w:name w:val="Table Body"/>
    <w:basedOn w:val="P14"/>
    <w:next w:val="P43"/>
    <w:pPr>
      <w:jc w:val="left"/>
    </w:pPr>
    <w:rPr>
      <w:b w:val="0"/>
    </w:rPr>
  </w:style>
  <w:style w:type="paragraph" w:styleId="P44">
    <w:name w:val="List Bullet"/>
    <w:basedOn w:val="P28"/>
    <w:next w:val="P44"/>
    <w:pPr>
      <w:numPr>
        <w:numId w:val="2"/>
      </w:numPr>
    </w:pPr>
    <w:rPr/>
  </w:style>
  <w:style w:type="paragraph" w:styleId="P45">
    <w:name w:val="TOC 2"/>
    <w:basedOn w:val="P33"/>
    <w:next w:val="P49"/>
    <w:pPr>
      <w:tabs>
        <w:tab w:val="left" w:pos="1008" w:leader="none"/>
      </w:tabs>
      <w:ind w:left="720"/>
    </w:pPr>
    <w:rPr>
      <w:b w:val="0"/>
    </w:rPr>
  </w:style>
  <w:style w:type="paragraph" w:styleId="P46">
    <w:name w:val="Contents"/>
    <w:basedOn w:val="P35"/>
    <w:next w:val="P6"/>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6"/>
    <w:pPr/>
    <w:rPr>
      <w:i w:val="1"/>
    </w:rPr>
  </w:style>
  <w:style w:type="paragraph" w:styleId="P51">
    <w:name w:val="TOC 4"/>
    <w:basedOn w:val="P49"/>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37"/>
    <w:rPr>
      <w:rFonts w:ascii="Calibri" w:hAnsi="Calibri"/>
      <w:b w:val="0"/>
    </w:rPr>
  </w:style>
  <w:style w:type="character" w:styleId="C8">
    <w:name w:val="Comment Text Char"/>
    <w:link w:val="P7"/>
    <w:rPr>
      <w:rFonts w:ascii="Arial" w:hAnsi="Arial"/>
    </w:rPr>
  </w:style>
  <w:style w:type="character" w:styleId="C9">
    <w:name w:val="Comment Subject Char"/>
    <w:link w:val="P34"/>
    <w:rPr>
      <w:rFonts w:ascii="Book Antiqua" w:hAnsi="Book Antiqua"/>
      <w:b w:val="1"/>
      <w:sz w:val="20"/>
    </w:rPr>
  </w:style>
  <w:style w:type="character" w:styleId="C10">
    <w:name w:val="Heading 2 Char"/>
    <w:link w:val="P36"/>
    <w:rPr>
      <w:rFonts w:ascii="Calibri" w:hAnsi="Calibri"/>
      <w:b w:val="0"/>
      <w:u w:val="single"/>
    </w:rPr>
  </w:style>
  <w:style w:type="character" w:styleId="C11">
    <w:name w:val="apple-converted-spac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2015-03-06T19:28:00Z</dcterms:created>
  <cp:lastModifiedBy>Ray</cp:lastModifiedBy>
  <cp:lastPrinted>2006-08-30T13:40:00Z</cp:lastPrinted>
  <dcterms:modified xsi:type="dcterms:W3CDTF">2022-10-04T19:39:04Z</dcterms:modified>
  <cp:revision>4</cp:revision>
  <dc:title>16441_Panelboard_Breaker_Type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