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F10C112" Type="http://schemas.openxmlformats.org/officeDocument/2006/relationships/officeDocument" Target="word/document.xml"/><Relationship Id="coreR4F10C112" Type="http://schemas.openxmlformats.org/package/2006/relationships/metadata/core-properties" Target="docProps/core.xml"/><Relationship Id="customR4F10C11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Modified ‘Related Sections’ and approved suppliers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March 23,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2"/>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19,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Incorporation of new Commissioning Specification cross reference. Incorporated several aspects of the NL building specifications.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July 28, 2014</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February 4,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Reference eDOCS #5630517  v9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8</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Removed all listed manufacturers, replacing them with performance requirements and standards. (CPD PMO, OMM)  (AV)</w:t>
            </w:r>
          </w:p>
          <w:p>
            <w:pPr>
              <w:rPr>
                <w:rFonts w:ascii="Calibri" w:hAnsi="Calibri"/>
              </w:rPr>
            </w:pPr>
            <w:r>
              <w:rPr>
                <w:rFonts w:ascii="Calibri" w:hAnsi="Calibri"/>
              </w:rPr>
              <w:t>Updated reference standards (</w:t>
            </w:r>
            <w:r>
              <w:rPr>
                <w:rFonts w:ascii="Calibri" w:hAnsi="Calibri"/>
                <w:sz w:val="18"/>
              </w:rPr>
              <w:t>ANSI/IEEE 837-2014, ANSI/IEEE 80-2013</w:t>
            </w:r>
            <w:r>
              <w:rPr>
                <w:rFonts w:ascii="Calibri" w:hAnsi="Calibri"/>
              </w:rPr>
              <w:t xml:space="preserve">)  (AAM)</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5"/>
        <w:rPr>
          <w:rFonts w:ascii="Calibri" w:hAnsi="Calibri"/>
        </w:rPr>
      </w:pPr>
    </w:p>
    <w:p>
      <w:pPr>
        <w:pStyle w:val="P5"/>
        <w:rPr>
          <w:rFonts w:ascii="Calibri" w:hAnsi="Calibri"/>
        </w:rPr>
      </w:pPr>
    </w:p>
    <w:p>
      <w:pPr>
        <w:pStyle w:val="P36"/>
      </w:pPr>
      <w:bookmarkEnd w:id="0"/>
      <w:bookmarkEnd w:id="1"/>
      <w:bookmarkEnd w:id="2"/>
      <w:r>
        <w:br w:type="page"/>
        <w:t>GEneral</w:t>
      </w:r>
    </w:p>
    <w:p>
      <w:pPr>
        <w:pStyle w:val="P37"/>
      </w:pPr>
      <w:r>
        <w:t>Summary</w:t>
      </w:r>
    </w:p>
    <w:p>
      <w:pPr>
        <w:pStyle w:val="P38"/>
        <w:rPr>
          <w:highlight w:val="yellow"/>
        </w:rPr>
      </w:pPr>
      <w:r>
        <w:t xml:space="preserve">Comply with the requirements of Division 1 – General Requirements and </w:t>
      </w:r>
      <w:r>
        <w:rPr>
          <w:highlight w:val="yellow"/>
        </w:rPr>
        <w:t>Section 16010 – Electrical General Requirements.</w:t>
      </w:r>
    </w:p>
    <w:p>
      <w:pPr>
        <w:pStyle w:val="P37"/>
      </w:pPr>
      <w:r>
        <w:t>Related Sections</w:t>
      </w:r>
    </w:p>
    <w:p>
      <w:pPr>
        <w:pStyle w:val="P3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ind w:left="720"/>
        <w:rPr>
          <w:highlight w:val="yellow"/>
        </w:rPr>
      </w:pPr>
    </w:p>
    <w:p>
      <w:pPr>
        <w:pStyle w:val="P3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highlight w:val="yellow"/>
        </w:rPr>
      </w:pPr>
    </w:p>
    <w:p>
      <w:pPr>
        <w:pStyle w:val="P38"/>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8"/>
        <w:numPr>
          <w:ilvl w:val="2"/>
          <w:numId w:val="0"/>
        </w:numPr>
        <w:ind w:left="720"/>
        <w:rPr>
          <w:highlight w:val="yellow"/>
        </w:rPr>
      </w:pPr>
    </w:p>
    <w:p>
      <w:pPr>
        <w:pStyle w:val="P38"/>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highlight w:val="yellow"/>
        </w:rPr>
      </w:pPr>
    </w:p>
    <w:p>
      <w:pPr>
        <w:pStyle w:val="P38"/>
        <w:numPr>
          <w:ilvl w:val="2"/>
          <w:numId w:val="0"/>
        </w:numPr>
        <w:ind w:left="720"/>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p>
    <w:p>
      <w:pPr>
        <w:pStyle w:val="P38"/>
        <w:numPr>
          <w:ilvl w:val="2"/>
          <w:numId w:val="0"/>
        </w:numPr>
        <w:ind w:left="720"/>
        <w:rPr>
          <w:highlight w:val="yellow"/>
        </w:rPr>
      </w:pPr>
      <w:r>
        <w:rPr>
          <w:highlight w:val="yellow"/>
        </w:rPr>
        <w:t>[List Sections specifying related requirements.]</w:t>
      </w:r>
    </w:p>
    <w:p>
      <w:pPr>
        <w:pStyle w:val="P38"/>
        <w:rPr>
          <w:highlight w:val="yellow"/>
        </w:rPr>
      </w:pPr>
      <w:r>
        <w:t xml:space="preserve">Section </w:t>
      </w:r>
      <w:r>
        <w:rPr>
          <w:highlight w:val="yellow"/>
        </w:rPr>
        <w:t xml:space="preserve">[______ – ____________]:  [Optional short phrase indicating relationship].</w:t>
      </w:r>
    </w:p>
    <w:p>
      <w:pPr>
        <w:pStyle w:val="P38"/>
      </w:pPr>
      <w:r>
        <w:t xml:space="preserve">Section 01250 – Substitutions </w:t>
      </w:r>
    </w:p>
    <w:p>
      <w:pPr>
        <w:pStyle w:val="P38"/>
      </w:pPr>
      <w:r>
        <w:t>Section 01300 - Submittals</w:t>
      </w:r>
    </w:p>
    <w:p>
      <w:pPr>
        <w:pStyle w:val="P38"/>
      </w:pPr>
      <w:r>
        <w:t>Section 01810 – Equipment Testing and Facility Commissioning</w:t>
      </w:r>
    </w:p>
    <w:p>
      <w:pPr>
        <w:pStyle w:val="P38"/>
      </w:pPr>
      <w:r>
        <w:t>Section 16031 – Inspection and Testing</w:t>
      </w:r>
    </w:p>
    <w:p>
      <w:pPr>
        <w:pStyle w:val="P38"/>
      </w:pPr>
      <w:r>
        <w:t>Section 16010 – Electrical General Requirements</w:t>
      </w:r>
    </w:p>
    <w:p>
      <w:pPr>
        <w:pStyle w:val="P38"/>
        <w:rPr>
          <w:highlight w:val="yellow"/>
        </w:rPr>
      </w:pPr>
      <w:r>
        <w:rPr>
          <w:highlight w:val="yellow"/>
        </w:rPr>
        <w:t>[Division 13 – SCADA and Instrumentation -insert applicable specifications]</w:t>
      </w:r>
    </w:p>
    <w:p>
      <w:pPr>
        <w:pStyle w:val="P38"/>
      </w:pPr>
      <w:r>
        <w:t xml:space="preserve">Product requirements for </w:t>
      </w:r>
      <w:r>
        <w:rPr>
          <w:highlight w:val="yellow"/>
        </w:rPr>
        <w:t>[item]...</w:t>
      </w:r>
      <w:r>
        <w:t xml:space="preserve">  for installation under this Section.</w:t>
      </w:r>
    </w:p>
    <w:p>
      <w:pPr>
        <w:pStyle w:val="P37"/>
      </w:pPr>
      <w:r>
        <w:t>References</w:t>
      </w:r>
    </w:p>
    <w:p>
      <w:pPr>
        <w:pStyle w:val="P38"/>
      </w:pPr>
      <w:bookmarkStart w:id="3" w:name="OLE_LINK4"/>
      <w:bookmarkStart w:id="4" w:name="OLE_LINK5"/>
      <w:r>
        <w:t>Comply with the latest edition of the following applicable statutes, codes, and standards, and all amendments thereto:</w:t>
      </w:r>
    </w:p>
    <w:p>
      <w:pPr>
        <w:pStyle w:val="P1"/>
      </w:pPr>
      <w:r>
        <w:t>Nation Fire Protection Association (NFPA):</w:t>
      </w:r>
    </w:p>
    <w:p>
      <w:pPr>
        <w:pStyle w:val="P39"/>
      </w:pPr>
      <w:r>
        <w:t>NFPA 780-2014, Standard for the Installation of Lightning Protection Systems, 2014 Edition</w:t>
      </w:r>
    </w:p>
    <w:p>
      <w:pPr>
        <w:pStyle w:val="P1"/>
      </w:pPr>
      <w:r>
        <w:t>Canadian Standards Association (CSA)</w:t>
      </w:r>
    </w:p>
    <w:p>
      <w:pPr>
        <w:pStyle w:val="P39"/>
      </w:pPr>
      <w:r>
        <w:t>CAN/CSA-B72-M87 (R2013), Installation Code for Lightning Protection Systems.</w:t>
      </w:r>
    </w:p>
    <w:p>
      <w:pPr>
        <w:pStyle w:val="P39"/>
      </w:pPr>
      <w:r>
        <w:t>CAN/CSA-C22.2 No. 41-13, Grounding and Bonding Equipment (Tri-national standard, with NMX-J-590-ANCE and UL 467).</w:t>
      </w:r>
    </w:p>
    <w:p>
      <w:pPr>
        <w:pStyle w:val="P1"/>
      </w:pPr>
      <w:r>
        <w:t>American National Standards Institute (ANSI)/Institute of Electrical and Electronics Engineers (IEEE)</w:t>
      </w:r>
    </w:p>
    <w:p>
      <w:pPr>
        <w:pStyle w:val="P39"/>
      </w:pPr>
      <w:r>
        <w:t xml:space="preserve">ANSI/IEEE 837-2014, Standard for Qualifying Permanent Connections Used in Substation Grounding. </w:t>
      </w:r>
    </w:p>
    <w:p>
      <w:pPr>
        <w:pStyle w:val="P39"/>
      </w:pPr>
      <w:r>
        <w:t>ANSI/IEEE 80-2013 ,Guide for Safety in AC Substation Grounding</w:t>
      </w:r>
    </w:p>
    <w:p>
      <w:pPr>
        <w:pStyle w:val="P39"/>
      </w:pPr>
      <w:r>
        <w:t>IEEE C62.11-2012, IEEE Standard for Metal-Oxide Surge Arresters for AC Power Circuits (&gt;1 kV)</w:t>
      </w:r>
    </w:p>
    <w:p>
      <w:pPr>
        <w:pStyle w:val="P39"/>
      </w:pPr>
      <w:r>
        <w:t>IEEE C62.34-1996, IEEE Standard for Performance of Low-Voltage Surge-Protective Devices (Secondary Arresters)</w:t>
      </w:r>
    </w:p>
    <w:p>
      <w:pPr>
        <w:pStyle w:val="P1"/>
        <w:numPr>
          <w:ilvl w:val="3"/>
          <w:numId w:val="0"/>
        </w:numPr>
        <w:ind w:left="2160"/>
        <w:rPr>
          <w:i w:val="1"/>
        </w:rPr>
      </w:pPr>
      <w:r>
        <w:rPr>
          <w:i w:val="1"/>
          <w:highlight w:val="yellow"/>
        </w:rPr>
        <w:t>[Consultant to update ANSI/IEEE standard references with most current version available</w:t>
      </w:r>
      <w:r>
        <w:rPr>
          <w:i w:val="1"/>
          <w:highlight w:val="yellow"/>
        </w:rPr>
        <w:t xml:space="preserve"> at time of tender</w:t>
      </w:r>
      <w:r>
        <w:rPr>
          <w:i w:val="1"/>
          <w:highlight w:val="yellow"/>
        </w:rPr>
        <w:t>]</w:t>
      </w:r>
    </w:p>
    <w:p>
      <w:pPr>
        <w:pStyle w:val="P37"/>
      </w:pPr>
      <w:bookmarkEnd w:id="3"/>
      <w:bookmarkEnd w:id="4"/>
      <w:r>
        <w:t>Measurement and Payment</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8"/>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8"/>
        <w:rPr>
          <w:highlight w:val="yellow"/>
        </w:rPr>
      </w:pPr>
      <w:r>
        <w:rPr>
          <w:highlight w:val="yellow"/>
        </w:rPr>
        <w:t>All costs associated with the work of this Section shall be included in the price(s) for Item No(s). ___ in the Bid Form.</w:t>
      </w:r>
    </w:p>
    <w:p>
      <w:pPr>
        <w:pStyle w:val="P28"/>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7"/>
      </w:pPr>
      <w:r>
        <w:t>Scope of Work</w:t>
      </w:r>
    </w:p>
    <w:p>
      <w:pPr>
        <w:pStyle w:val="P38"/>
        <w:rPr>
          <w:highlight w:val="yellow"/>
        </w:rPr>
      </w:pPr>
      <w:r>
        <w:t>Provide lightning protection systems for all areas and facilities containing stacks, including, but not limited to:</w:t>
      </w:r>
    </w:p>
    <w:p>
      <w:pPr>
        <w:pStyle w:val="P1"/>
        <w:rPr>
          <w:i w:val="1"/>
          <w:highlight w:val="yellow"/>
        </w:rPr>
      </w:pPr>
      <w:r>
        <w:rPr>
          <w:i w:val="1"/>
          <w:highlight w:val="yellow"/>
        </w:rPr>
        <w:t>[Consultant to complete listing of all areas and facilities requiring lightning protection]</w:t>
      </w:r>
    </w:p>
    <w:p>
      <w:pPr>
        <w:pStyle w:val="P37"/>
      </w:pPr>
      <w:r>
        <w:t>Submittals</w:t>
      </w:r>
    </w:p>
    <w:p>
      <w:pPr>
        <w:pStyle w:val="P38"/>
      </w:pPr>
      <w:r>
        <w:t>A copy of the lightning protection system inspection report.</w:t>
      </w:r>
    </w:p>
    <w:p>
      <w:pPr>
        <w:pStyle w:val="P38"/>
      </w:pPr>
      <w:r>
        <w:t>Dimensioned layout drawings showing details of lighting protection system.</w:t>
      </w:r>
    </w:p>
    <w:p>
      <w:pPr>
        <w:pStyle w:val="P38"/>
      </w:pPr>
      <w:r>
        <w:t>Details of components and materials. Indicate the materials and methods of attachment of the conductors to the air terminals and electrodes.</w:t>
      </w:r>
    </w:p>
    <w:p>
      <w:pPr>
        <w:pStyle w:val="P37"/>
      </w:pPr>
      <w:r>
        <w:t>Quality Assurance</w:t>
      </w:r>
    </w:p>
    <w:p>
      <w:pPr>
        <w:pStyle w:val="P38"/>
      </w:pPr>
      <w:r>
        <w:t xml:space="preserve"> An independent and competent third party inspection firm </w:t>
      </w:r>
      <w:r>
        <w:rPr>
          <w:highlight w:val="yellow"/>
        </w:rPr>
        <w:t>[approved by the Consultant]</w:t>
      </w:r>
      <w:r>
        <w:t xml:space="preserve"> will conduct an inspection of the lightning protection system and provide a report to the Consultant at no cost to the Region.</w:t>
      </w:r>
    </w:p>
    <w:p>
      <w:pPr>
        <w:pStyle w:val="P36"/>
      </w:pPr>
      <w:r>
        <w:t>PRODUCTS</w:t>
      </w:r>
    </w:p>
    <w:p>
      <w:pPr>
        <w:pStyle w:val="P37"/>
      </w:pPr>
      <w:r>
        <w:t>Manufacturer Requirements</w:t>
      </w:r>
    </w:p>
    <w:p>
      <w:pPr>
        <w:pStyle w:val="P38"/>
      </w:pPr>
      <w:r>
        <w:t>Lightning Arrester:</w:t>
      </w:r>
    </w:p>
    <w:p>
      <w:pPr>
        <w:pStyle w:val="P1"/>
      </w:pPr>
      <w:r>
        <w:t>Tested shall be according to ANSI/IEEE Standards C62.11-2012 and C62.34-1996.</w:t>
      </w:r>
    </w:p>
    <w:p>
      <w:pPr>
        <w:pStyle w:val="P1"/>
      </w:pPr>
      <w:r>
        <w:t>Housing is weather and UV resistant</w:t>
      </w:r>
    </w:p>
    <w:p>
      <w:pPr>
        <w:pStyle w:val="P1"/>
      </w:pPr>
      <w:r>
        <w:t>Ambient operating temperature range: -40˚C to +85˚C</w:t>
      </w:r>
    </w:p>
    <w:p>
      <w:pPr>
        <w:pStyle w:val="P38"/>
      </w:pPr>
      <w:r>
        <w:t>Comply with the regulations, codes and standards listed in subsection ‘References’.</w:t>
      </w:r>
    </w:p>
    <w:p>
      <w:pPr>
        <w:pStyle w:val="P38"/>
      </w:pPr>
      <w:r>
        <w:t>Materials shall comply with the CSA, UL/ULC and NFPA requirements pertaining to lightning protection systems.</w:t>
      </w:r>
    </w:p>
    <w:p>
      <w:pPr>
        <w:pStyle w:val="P38"/>
      </w:pPr>
      <w:r>
        <w:t>Obtain an inspection certificate from the Consultant for the discharge conductor passing through any fire supporting membrane.</w:t>
      </w:r>
    </w:p>
    <w:p>
      <w:pPr>
        <w:pStyle w:val="P37"/>
      </w:pPr>
      <w:r>
        <w:t>Materials</w:t>
      </w:r>
    </w:p>
    <w:p>
      <w:pPr>
        <w:pStyle w:val="P38"/>
      </w:pPr>
      <w:r>
        <w:t>Aerial terminals: solid copper, minimum 16 mm diameter, point tip, mounted on bronze bases.</w:t>
      </w:r>
    </w:p>
    <w:p>
      <w:pPr>
        <w:pStyle w:val="P38"/>
      </w:pPr>
      <w:r>
        <w:t xml:space="preserve">Conductors: Stranded, bare, tinned copper </w:t>
      </w:r>
      <w:r>
        <w:rPr>
          <w:highlight w:val="yellow"/>
        </w:rPr>
        <w:t xml:space="preserve">[  ]</w:t>
      </w:r>
      <w:r>
        <w:t xml:space="preserve"> gauge for roof grid, down-lead and buried connections.</w:t>
      </w:r>
    </w:p>
    <w:p>
      <w:pPr>
        <w:pStyle w:val="P38"/>
      </w:pPr>
      <w:r>
        <w:t>Thermit welds: Exothermically welded connections, compatible with materials being interconnected, designed for the specific application and grounding conductor size.</w:t>
      </w:r>
    </w:p>
    <w:p>
      <w:pPr>
        <w:pStyle w:val="P38"/>
      </w:pPr>
      <w:r>
        <w:t>Compression connections: Pure wrought copper material, factory fitted with oxide inhibiting compound.</w:t>
      </w:r>
    </w:p>
    <w:p>
      <w:pPr>
        <w:pStyle w:val="P38"/>
      </w:pPr>
      <w:r>
        <w:t>Ground rods: 19mm diameter, 3050 mm long, copper clad steel construction with copper exterior coating permanently bonded to steel core, chamfered top, machined conical point.</w:t>
      </w:r>
    </w:p>
    <w:p>
      <w:pPr>
        <w:pStyle w:val="P36"/>
      </w:pPr>
      <w:r>
        <w:t>EXECUTION</w:t>
      </w:r>
    </w:p>
    <w:p>
      <w:pPr>
        <w:pStyle w:val="P37"/>
      </w:pPr>
      <w:r>
        <w:t>Installation</w:t>
      </w:r>
    </w:p>
    <w:p>
      <w:pPr>
        <w:pStyle w:val="P38"/>
      </w:pPr>
      <w:r>
        <w:t xml:space="preserve">Provide system to comply with applicable codes and standards. </w:t>
      </w:r>
    </w:p>
    <w:p>
      <w:pPr>
        <w:pStyle w:val="P38"/>
      </w:pPr>
      <w:r>
        <w:t>Provide bare copper conductor roof and down-lead cables.</w:t>
      </w:r>
    </w:p>
    <w:p>
      <w:pPr>
        <w:pStyle w:val="P38"/>
      </w:pPr>
      <w:r>
        <w:t>Utilize thermite welded copper connections or mechanical connectors accepted by the Consultant for cable to ground rod, cable to cable and cable to steel connection. Ensure clean and dry connections.</w:t>
      </w:r>
    </w:p>
    <w:p>
      <w:pPr>
        <w:pStyle w:val="P38"/>
      </w:pPr>
      <w:r>
        <w:t>Utilize bimetal connectors accepted by the Consultant for copper to aluminum connections.</w:t>
      </w:r>
    </w:p>
    <w:p>
      <w:pPr>
        <w:pStyle w:val="P38"/>
      </w:pPr>
      <w:r>
        <w:t>Install solid copper aerial terminals at 7,500 mm centres maximum, securely anchored to the roof hand rail. Install terminals to project a minimum of 300 mm above highest point in the vicinity and to connect to perimeter loop system.</w:t>
      </w:r>
    </w:p>
    <w:p>
      <w:pPr>
        <w:pStyle w:val="P38"/>
      </w:pPr>
      <w:r>
        <w:t>Bond metal roof masts to perimeter loop system using 25 mm x 1.5 mm copper strips.</w:t>
      </w:r>
    </w:p>
    <w:p>
      <w:pPr>
        <w:pStyle w:val="P38"/>
      </w:pPr>
      <w:r>
        <w:t>Install ground rods.</w:t>
      </w:r>
    </w:p>
    <w:p>
      <w:pPr>
        <w:pStyle w:val="P38"/>
      </w:pPr>
      <w:r>
        <w:t>Connect down-lead conductors to the ground rods. Protect grounding conductors subject to mechanical damage with rigid aluminum conduit or guards bonded at ends.</w:t>
      </w:r>
    </w:p>
    <w:p>
      <w:pPr>
        <w:pStyle w:val="P38"/>
      </w:pPr>
      <w:r>
        <w:t>Install lightning protection in accordance with the requirements of CAN/CSA-B72-M87 (R2013).</w:t>
      </w:r>
    </w:p>
    <w:p>
      <w:pPr>
        <w:pStyle w:val="P38"/>
      </w:pPr>
      <w:r>
        <w:t>Bond discharge conductors to the service mast or other non-current-carrying electrical parts.</w:t>
      </w:r>
    </w:p>
    <w:p>
      <w:pPr>
        <w:pStyle w:val="P38"/>
      </w:pPr>
      <w:r>
        <w:t>Submit the certificate of installation to the Consultant.</w:t>
      </w:r>
    </w:p>
    <w:p>
      <w:pPr>
        <w:pStyle w:val="P37"/>
      </w:pPr>
      <w:r>
        <w:t>Commissioning</w:t>
      </w:r>
      <w:r>
        <w:rPr>
          <w:u w:val="none"/>
        </w:rPr>
        <w:tab/>
        <w:tab/>
        <w:tab/>
      </w:r>
    </w:p>
    <w:p>
      <w:pPr>
        <w:pStyle w:val="P38"/>
      </w:pPr>
      <w:r>
        <w:t xml:space="preserve">For all commissioning activities on systems where components of this Specification are integral to functionality, refer </w:t>
      </w:r>
      <w:r>
        <w:rPr>
          <w:highlight w:val="yellow"/>
        </w:rPr>
        <w:t>to 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1"/>
        <w:spacing w:before="240"/>
        <w:jc w:val="center"/>
        <w:rPr>
          <w:rFonts w:ascii="Calibri" w:hAnsi="Calibri"/>
          <w:b w:val="1"/>
          <w:sz w:val="22"/>
        </w:rPr>
      </w:pPr>
      <w:r>
        <w:rPr>
          <w:rFonts w:ascii="Calibri" w:hAnsi="Calibri"/>
          <w:b w:val="1"/>
          <w:sz w:val="22"/>
        </w:rPr>
        <w:t>END OF SECTION</w:t>
      </w:r>
    </w:p>
    <w:p>
      <w:pPr>
        <w:pStyle w:val="P21"/>
        <w:spacing w:before="240"/>
        <w:rPr>
          <w:rFonts w:ascii="Calibri" w:hAnsi="Calibri"/>
          <w:b w:val="1"/>
          <w:sz w:val="22"/>
        </w:rPr>
      </w:pPr>
    </w:p>
    <w:p>
      <w:pPr>
        <w:pStyle w:val="P21"/>
        <w:spacing w:before="240"/>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16670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LIGHTNING PROTECTION SYSTEM</w:t>
    </w:r>
    <w:r>
      <w:rPr>
        <w:rFonts w:ascii="Arial" w:hAnsi="Arial"/>
      </w:rPr>
      <w:tab/>
      <w:t>2013-06-19</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CONTRACT NO. SSTR4559</w:t>
      <w:tab/>
      <w:t>Section 16670</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b w:val="1"/>
        <w:sz w:val="22"/>
      </w:rPr>
      <w:tab/>
      <w:t>LIGHTNING PROTECTION SYSTEM</w:t>
    </w:r>
    <w:r>
      <w:rPr>
        <w:rFonts w:ascii="Calibri (Body)" w:hAnsi="Calibri (Body)"/>
        <w:sz w:val="22"/>
      </w:rPr>
      <w:tab/>
      <w:t>2017-02-10</w:t>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Body)" w:hAnsi="Calibri (Body)"/>
        <w:sz w:val="22"/>
      </w:rPr>
      <w:t>Section 16670</w:t>
      <w:tab/>
      <w:t>CONTRACT NO. SSTR4559</w:t>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Body)" w:hAnsi="Calibri (Body)"/>
        <w:sz w:val="22"/>
      </w:rPr>
      <w:t>2017-02-10</w:t>
    </w:r>
    <w:r>
      <w:rPr>
        <w:rFonts w:ascii="Calibri (Body)" w:hAnsi="Calibri (Body)"/>
        <w:b w:val="1"/>
        <w:sz w:val="22"/>
      </w:rPr>
      <w:tab/>
      <w:t>LIGHTNING PROTECTION SYSTEM</w:t>
    </w:r>
    <w:r>
      <w:rPr>
        <w:rFonts w:ascii="Calibri (Body)" w:hAnsi="Calibri (Body)"/>
        <w:sz w:val="22"/>
      </w:rPr>
      <w:tab/>
    </w:r>
  </w:p>
  <w:p>
    <w:pPr>
      <w:pBdr>
        <w:top w:val="single" w:sz="4" w:space="0" w:shadow="0" w:frame="0"/>
      </w:pBdr>
      <w:tabs>
        <w:tab w:val="center" w:pos="5175" w:leader="none"/>
        <w:tab w:val="right" w:pos="981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402B316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70"/>
        <w:tabs>
          <w:tab w:val="left" w:pos="270" w:leader="none"/>
        </w:tabs>
      </w:pPr>
      <w:rPr>
        <w:rFonts w:ascii="Calibri" w:hAnsi="Calibri"/>
        <w:color w:val="000000"/>
        <w:sz w:val="22"/>
      </w:rPr>
    </w:lvl>
    <w:lvl w:ilvl="3">
      <w:start w:val="1"/>
      <w:numFmt w:val="decimal"/>
      <w:suff w:val="tab"/>
      <w:lvlText w:val=".%4"/>
      <w:lvlJc w:val="left"/>
      <w:pPr>
        <w:ind w:firstLine="3456" w:left="-1116"/>
        <w:tabs>
          <w:tab w:val="left" w:pos="-1116"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6"/>
  </w:num>
  <w:num w:numId="4">
    <w:abstractNumId w:val="3"/>
  </w:num>
  <w:num w:numId="5">
    <w:abstractNumId w:val="7"/>
  </w:num>
  <w:num w:numId="6">
    <w:abstractNumId w:val="2"/>
  </w:num>
  <w:num w:numId="7">
    <w:abstractNumId w:val="5"/>
  </w:num>
  <w:num w:numId="8">
    <w:abstractNumId w:val="1"/>
  </w:num>
  <w:num w:numId="9">
    <w:abstractNumId w:val="8"/>
  </w:num>
  <w:num w:numId="10">
    <w:abstractNumId w:val="4"/>
  </w:num>
  <w:num w:numId="11">
    <w:abstractNumId w:val="6"/>
  </w:num>
  <w:num w:numId="12">
    <w:abstractNumId w:val="6"/>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4"/>
    <w:basedOn w:val="P0"/>
    <w:next w:val="P1"/>
    <w:qFormat/>
    <w:pPr>
      <w:numPr>
        <w:ilvl w:val="3"/>
        <w:numId w:val="3"/>
      </w:numPr>
      <w:tabs>
        <w:tab w:val="clear" w:pos="864" w:leader="none"/>
        <w:tab w:val="left" w:pos="2160" w:leader="none"/>
      </w:tabs>
      <w:ind w:hanging="720" w:left="2160"/>
      <w:outlineLvl w:val="3"/>
    </w:pPr>
    <w:rPr>
      <w:rFonts w:ascii="Calibri" w:hAnsi="Calibri"/>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10"/>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alloon Text"/>
    <w:basedOn w:val="P0"/>
    <w:next w:val="P24"/>
    <w:pPr/>
    <w:rPr>
      <w:rFonts w:ascii="Tahoma" w:hAnsi="Tahoma"/>
      <w:sz w:val="16"/>
    </w:rPr>
  </w:style>
  <w:style w:type="paragraph" w:styleId="P25">
    <w:name w:val="shorttitle-e"/>
    <w:basedOn w:val="P0"/>
    <w:next w:val="P25"/>
    <w:pPr>
      <w:keepNext w:val="1"/>
      <w:spacing w:lineRule="atLeast" w:line="270" w:after="578"/>
      <w:jc w:val="center"/>
    </w:pPr>
    <w:rPr>
      <w:rFonts w:ascii="Times New Roman" w:hAnsi="Times New Roman"/>
      <w:b w:val="1"/>
      <w:color w:val="000000"/>
      <w:sz w:val="26"/>
    </w:rPr>
  </w:style>
  <w:style w:type="paragraph" w:styleId="P26">
    <w:name w:val="regnumber-e"/>
    <w:basedOn w:val="P0"/>
    <w:next w:val="P26"/>
    <w:pPr>
      <w:spacing w:after="200"/>
      <w:jc w:val="center"/>
    </w:pPr>
    <w:rPr>
      <w:rFonts w:ascii="Times New Roman" w:hAnsi="Times New Roman"/>
      <w:b w:val="1"/>
      <w:caps w:val="1"/>
      <w:color w:val="000000"/>
      <w:sz w:val="26"/>
    </w:rPr>
  </w:style>
  <w:style w:type="paragraph" w:styleId="P27">
    <w:name w:val="List Paragraph"/>
    <w:basedOn w:val="P0"/>
    <w:next w:val="P27"/>
    <w:qFormat/>
    <w:pPr>
      <w:ind w:left="720"/>
    </w:pPr>
    <w:rPr/>
  </w:style>
  <w:style w:type="paragraph" w:styleId="P28">
    <w:name w:val="Plain Text"/>
    <w:basedOn w:val="P0"/>
    <w:next w:val="P28"/>
    <w:link w:val="C9"/>
    <w:pPr/>
    <w:rPr>
      <w:rFonts w:ascii="Courier New" w:hAnsi="Courier New"/>
      <w:sz w:val="20"/>
    </w:rPr>
  </w:style>
  <w:style w:type="paragraph" w:styleId="P29">
    <w:name w:val="Bullet"/>
    <w:basedOn w:val="P5"/>
    <w:next w:val="P5"/>
    <w:pPr/>
    <w:rPr/>
  </w:style>
  <w:style w:type="paragraph" w:styleId="P30">
    <w:name w:val="CSA"/>
    <w:basedOn w:val="P5"/>
    <w:next w:val="P36"/>
    <w:pPr>
      <w:keepNext w:val="1"/>
      <w:spacing w:after="0"/>
    </w:pPr>
    <w:rPr>
      <w:b w:val="1"/>
      <w:caps w:val="1"/>
      <w:sz w:val="20"/>
    </w:rPr>
  </w:style>
  <w:style w:type="paragraph" w:styleId="P31">
    <w:name w:val="Footnote Text"/>
    <w:basedOn w:val="P5"/>
    <w:next w:val="P31"/>
    <w:pPr>
      <w:spacing w:after="0"/>
    </w:pPr>
    <w:rPr>
      <w:rFonts w:ascii="Arial" w:hAnsi="Arial"/>
      <w:sz w:val="16"/>
    </w:rPr>
  </w:style>
  <w:style w:type="paragraph" w:styleId="P32">
    <w:name w:val="Number"/>
    <w:basedOn w:val="P5"/>
    <w:next w:val="P5"/>
    <w:pPr>
      <w:spacing w:after="0"/>
      <w:ind w:hanging="360" w:left="360"/>
    </w:pPr>
    <w:rPr/>
  </w:style>
  <w:style w:type="paragraph" w:styleId="P33">
    <w:name w:val="Tick"/>
    <w:basedOn w:val="P5"/>
    <w:next w:val="P5"/>
    <w:pPr>
      <w:spacing w:after="0"/>
      <w:ind w:hanging="360" w:left="720"/>
    </w:pPr>
    <w:rPr/>
  </w:style>
  <w:style w:type="paragraph" w:styleId="P34">
    <w:name w:val="TOC 1"/>
    <w:basedOn w:val="P5"/>
    <w:next w:val="P46"/>
    <w:pPr>
      <w:tabs>
        <w:tab w:val="right" w:pos="8640" w:leader="dot"/>
      </w:tabs>
      <w:spacing w:after="0"/>
    </w:pPr>
    <w:rPr>
      <w:b w:val="1"/>
    </w:rPr>
  </w:style>
  <w:style w:type="paragraph" w:styleId="P35">
    <w:name w:val="Comment Subject"/>
    <w:basedOn w:val="P6"/>
    <w:next w:val="P6"/>
    <w:pPr>
      <w:spacing w:before="0"/>
    </w:pPr>
    <w:rPr>
      <w:rFonts w:ascii="Book Antiqua" w:hAnsi="Book Antiqua"/>
      <w:b w:val="1"/>
      <w:sz w:val="20"/>
    </w:rPr>
  </w:style>
  <w:style w:type="paragraph" w:styleId="P36">
    <w:name w:val="Heading 1"/>
    <w:aliases w:val="Contents - level1 Char"/>
    <w:basedOn w:val="P8"/>
    <w:next w:val="P5"/>
    <w:qFormat/>
    <w:pPr>
      <w:keepNext w:val="1"/>
      <w:numPr>
        <w:numId w:val="3"/>
      </w:numPr>
      <w:tabs>
        <w:tab w:val="clear" w:pos="432" w:leader="none"/>
        <w:tab w:val="left" w:pos="720" w:leader="none"/>
        <w:tab w:val="left" w:pos="1170" w:leader="none"/>
      </w:tabs>
      <w:spacing w:before="160"/>
      <w:ind w:hanging="720" w:left="720"/>
      <w:outlineLvl w:val="0"/>
    </w:pPr>
    <w:rPr>
      <w:rFonts w:ascii="Calibri" w:hAnsi="Calibri"/>
      <w:b w:val="0"/>
      <w:caps w:val="1"/>
      <w:u w:val="single"/>
    </w:rPr>
  </w:style>
  <w:style w:type="paragraph" w:styleId="P37">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8">
    <w:name w:val="Heading 3"/>
    <w:basedOn w:val="P8"/>
    <w:next w:val="P38"/>
    <w:link w:val="C7"/>
    <w:qFormat/>
    <w:pPr>
      <w:numPr>
        <w:ilvl w:val="2"/>
        <w:numId w:val="3"/>
      </w:numPr>
      <w:tabs>
        <w:tab w:val="clear" w:pos="270" w:leader="none"/>
        <w:tab w:val="left" w:pos="1440" w:leader="none"/>
      </w:tabs>
      <w:ind w:hanging="720" w:left="1440"/>
      <w:outlineLvl w:val="2"/>
    </w:pPr>
    <w:rPr>
      <w:rFonts w:ascii="Calibri" w:hAnsi="Calibri"/>
      <w:b w:val="0"/>
    </w:rPr>
  </w:style>
  <w:style w:type="paragraph" w:styleId="P39">
    <w:name w:val="Heading 5"/>
    <w:basedOn w:val="P8"/>
    <w:next w:val="P39"/>
    <w:qFormat/>
    <w:pPr>
      <w:numPr>
        <w:ilvl w:val="4"/>
        <w:numId w:val="3"/>
      </w:numPr>
      <w:tabs>
        <w:tab w:val="clear" w:pos="720" w:leader="none"/>
        <w:tab w:val="left" w:pos="2880" w:leader="none"/>
      </w:tabs>
      <w:ind w:hanging="720" w:left="2880"/>
      <w:outlineLvl w:val="4"/>
    </w:pPr>
    <w:rPr>
      <w:rFonts w:ascii="Calibri" w:hAnsi="Calibri"/>
      <w:b w:val="0"/>
    </w:rPr>
  </w:style>
  <w:style w:type="paragraph" w:styleId="P40">
    <w:name w:val="Heading 6"/>
    <w:basedOn w:val="P8"/>
    <w:next w:val="P5"/>
    <w:qFormat/>
    <w:pPr>
      <w:numPr>
        <w:ilvl w:val="5"/>
        <w:numId w:val="3"/>
      </w:numPr>
      <w:outlineLvl w:val="5"/>
    </w:pPr>
    <w:rPr>
      <w:i w:val="1"/>
      <w:sz w:val="24"/>
    </w:rPr>
  </w:style>
  <w:style w:type="paragraph" w:styleId="P41">
    <w:name w:val="Caption"/>
    <w:basedOn w:val="P8"/>
    <w:next w:val="P0"/>
    <w:qFormat/>
    <w:pPr>
      <w:keepNext w:val="1"/>
      <w:spacing w:after="240"/>
    </w:pPr>
    <w:rPr>
      <w:b w:val="0"/>
      <w:i w:val="1"/>
      <w:sz w:val="20"/>
    </w:rPr>
  </w:style>
  <w:style w:type="paragraph" w:styleId="P42">
    <w:name w:val="Exhibit--Number"/>
    <w:basedOn w:val="P8"/>
    <w:next w:val="P48"/>
    <w:pPr>
      <w:spacing w:before="160"/>
    </w:pPr>
    <w:rPr>
      <w:caps w:val="1"/>
      <w:sz w:val="18"/>
    </w:rPr>
  </w:style>
  <w:style w:type="paragraph" w:styleId="P43">
    <w:name w:val="Title"/>
    <w:basedOn w:val="P8"/>
    <w:next w:val="P43"/>
    <w:qFormat/>
    <w:pPr>
      <w:keepNext w:val="1"/>
      <w:spacing w:before="160" w:after="30"/>
    </w:pPr>
    <w:rPr>
      <w:sz w:val="20"/>
    </w:rPr>
  </w:style>
  <w:style w:type="paragraph" w:styleId="P44">
    <w:name w:val="Table Body"/>
    <w:basedOn w:val="P13"/>
    <w:next w:val="P44"/>
    <w:pPr>
      <w:jc w:val="left"/>
    </w:pPr>
    <w:rPr>
      <w:b w:val="0"/>
    </w:rPr>
  </w:style>
  <w:style w:type="paragraph" w:styleId="P45">
    <w:name w:val="List Bullet"/>
    <w:basedOn w:val="P29"/>
    <w:next w:val="P45"/>
    <w:pPr>
      <w:numPr>
        <w:numId w:val="2"/>
      </w:numPr>
    </w:pPr>
    <w:rPr/>
  </w:style>
  <w:style w:type="paragraph" w:styleId="P46">
    <w:name w:val="TOC 2"/>
    <w:basedOn w:val="P34"/>
    <w:next w:val="P50"/>
    <w:pPr>
      <w:tabs>
        <w:tab w:val="left" w:pos="1008" w:leader="none"/>
      </w:tabs>
      <w:ind w:left="720"/>
    </w:pPr>
    <w:rPr>
      <w:b w:val="0"/>
    </w:rPr>
  </w:style>
  <w:style w:type="paragraph" w:styleId="P47">
    <w:name w:val="Contents"/>
    <w:basedOn w:val="P36"/>
    <w:next w:val="P5"/>
    <w:pPr/>
    <w:rPr/>
  </w:style>
  <w:style w:type="paragraph" w:styleId="P48">
    <w:name w:val="Exhibit--Title"/>
    <w:basedOn w:val="P42"/>
    <w:next w:val="P51"/>
    <w:pPr>
      <w:spacing w:before="0"/>
    </w:pPr>
    <w:rPr>
      <w:b w:val="1"/>
      <w:caps w:val="0"/>
      <w:sz w:val="20"/>
    </w:rPr>
  </w:style>
  <w:style w:type="paragraph" w:styleId="P49">
    <w:name w:val="Table Notes"/>
    <w:basedOn w:val="P44"/>
    <w:next w:val="P49"/>
    <w:pPr>
      <w:spacing w:after="320"/>
    </w:pPr>
    <w:rPr/>
  </w:style>
  <w:style w:type="paragraph" w:styleId="P50">
    <w:name w:val="TOC 3"/>
    <w:basedOn w:val="P46"/>
    <w:next w:val="P50"/>
    <w:pPr>
      <w:tabs>
        <w:tab w:val="clear" w:pos="1008" w:leader="none"/>
        <w:tab w:val="left" w:pos="1728" w:leader="none"/>
      </w:tabs>
      <w:ind w:left="1440"/>
    </w:pPr>
    <w:rPr/>
  </w:style>
  <w:style w:type="paragraph" w:styleId="P51">
    <w:name w:val="Exhibit--Caption"/>
    <w:basedOn w:val="P48"/>
    <w:next w:val="P5"/>
    <w:pPr/>
    <w:rPr>
      <w:i w:val="1"/>
    </w:rPr>
  </w:style>
  <w:style w:type="paragraph" w:styleId="P52">
    <w:name w:val="TOC 4"/>
    <w:basedOn w:val="P50"/>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8"/>
    <w:rPr>
      <w:rFonts w:ascii="Calibri" w:hAnsi="Calibri"/>
      <w:b w:val="0"/>
    </w:rPr>
  </w:style>
  <w:style w:type="character" w:styleId="C8">
    <w:name w:val="FollowedHyperlink"/>
    <w:rPr>
      <w:color w:val="800080"/>
      <w:u w:val="single"/>
    </w:rPr>
  </w:style>
  <w:style w:type="character" w:styleId="C9">
    <w:name w:val="Plain Text Char"/>
    <w:link w:val="P28"/>
    <w:rPr>
      <w:rFonts w:ascii="Courier New" w:hAnsi="Courier New"/>
      <w:sz w:val="20"/>
    </w:rPr>
  </w:style>
  <w:style w:type="character" w:styleId="C10">
    <w:name w:val="Comment Text Char"/>
    <w:link w:val="P6"/>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2017-02-16T13:56:00Z</dcterms:created>
  <cp:lastModifiedBy>Ray</cp:lastModifiedBy>
  <cp:lastPrinted>2006-08-30T13:43:00Z</cp:lastPrinted>
  <dcterms:modified xsi:type="dcterms:W3CDTF">2022-10-04T19:39:04Z</dcterms:modified>
  <cp:revision>3</cp:revision>
  <dc:title>16670_Lightning_Protection_System (Feb 4,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77777-20-2591</vt:lpwstr>
  </property>
  <property fmtid="{D5CDD505-2E9C-101B-9397-08002B2CF9AE}" pid="5" name="_dlc_DocIdItemGuid">
    <vt:lpwstr>cfab569d-7eca-444f-96b9-14ad5d87b1ee</vt:lpwstr>
  </property>
  <property fmtid="{D5CDD505-2E9C-101B-9397-08002B2CF9AE}" pid="6" name="_dlc_DocIdUrl">
    <vt:lpwstr>https://mycloud.york.ca/collab/CPDToolKit/_layouts/DocIdRedir.aspx?ID=77777-20-2591, 77777-20-2591</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