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56EDA27A" Type="http://schemas.openxmlformats.org/officeDocument/2006/relationships/officeDocument" Target="word/document.xml"/><Relationship Id="coreR56EDA27A" Type="http://schemas.openxmlformats.org/package/2006/relationships/metadata/core-properties" Target="docProps/core.xml"/><Relationship Id="customR56EDA27A"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Version</w:t>
            </w:r>
          </w:p>
        </w:tc>
        <w:tc>
          <w:tcPr>
            <w:tcW w:w="2160" w:type="dxa"/>
            <w:tcBorders>
              <w:top w:val="double" w:sz="6" w:space="0" w:shadow="0" w:frame="0"/>
              <w:left w:val="sing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Date</w:t>
            </w:r>
          </w:p>
        </w:tc>
        <w:tc>
          <w:tcPr>
            <w:tcW w:w="5683" w:type="dxa"/>
            <w:tcBorders>
              <w:top w:val="double" w:sz="6" w:space="0" w:shadow="0" w:frame="0"/>
              <w:left w:val="single" w:sz="6" w:space="0" w:shadow="0" w:frame="0"/>
              <w:bottom w:val="single" w:sz="6" w:space="0" w:shadow="0" w:frame="0"/>
              <w:right w:val="double" w:sz="6" w:space="0" w:shadow="0" w:frame="0"/>
            </w:tcBorders>
          </w:tcPr>
          <w:p>
            <w:pPr>
              <w:pStyle w:val="P47"/>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1</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March 18, 2016</w:t>
            </w:r>
          </w:p>
        </w:tc>
        <w:tc>
          <w:tcPr>
            <w:tcW w:w="5683"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New Document Based on T-13-56</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7"/>
              <w:rPr>
                <w:rFonts w:ascii="Calibri" w:hAnsi="Calibri"/>
                <w:b w:val="0"/>
                <w:sz w:val="22"/>
              </w:rPr>
            </w:pPr>
            <w:r>
              <w:rPr>
                <w:rFonts w:ascii="Calibri" w:hAnsi="Calibri"/>
                <w:b w:val="0"/>
                <w:sz w:val="22"/>
              </w:rPr>
              <w:t>2</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47"/>
              <w:rPr>
                <w:rFonts w:ascii="Calibri" w:hAnsi="Calibri"/>
                <w:b w:val="0"/>
                <w:sz w:val="22"/>
              </w:rPr>
            </w:pPr>
            <w:r>
              <w:rPr>
                <w:rFonts w:ascii="Calibri" w:hAnsi="Calibri"/>
                <w:b w:val="0"/>
                <w:sz w:val="22"/>
              </w:rPr>
              <w:t>March 9, 2021</w:t>
            </w:r>
          </w:p>
        </w:tc>
        <w:tc>
          <w:tcPr>
            <w:tcW w:w="5683" w:type="dxa"/>
            <w:tcBorders>
              <w:top w:val="single" w:sz="6" w:space="0" w:shadow="0" w:frame="0"/>
              <w:left w:val="single" w:sz="6" w:space="0" w:shadow="0" w:frame="0"/>
              <w:bottom w:val="single" w:sz="6" w:space="0" w:shadow="0" w:frame="0"/>
              <w:right w:val="double" w:sz="6" w:space="0" w:shadow="0" w:frame="0"/>
            </w:tcBorders>
          </w:tcPr>
          <w:p>
            <w:pPr>
              <w:pStyle w:val="P47"/>
              <w:rPr>
                <w:rFonts w:ascii="Calibri" w:hAnsi="Calibri"/>
                <w:b w:val="0"/>
                <w:sz w:val="22"/>
              </w:rPr>
            </w:pPr>
            <w:r>
              <w:rPr>
                <w:rFonts w:ascii="Calibri" w:hAnsi="Calibri"/>
                <w:b w:val="0"/>
                <w:sz w:val="22"/>
              </w:rPr>
              <w:t>Minor revisions throughout (BM)</w:t>
            </w:r>
          </w:p>
        </w:tc>
      </w:tr>
      <w:tr>
        <w:trPr>
          <w:cantSplit/>
          <w:jc w:val="center"/>
        </w:trPr>
        <w:tc>
          <w:tcPr>
            <w:tcW w:w="1004" w:type="dxa"/>
            <w:tcBorders>
              <w:top w:val="single" w:sz="4" w:space="0" w:shadow="0" w:frame="0"/>
              <w:left w:val="double" w:sz="6" w:space="0" w:shadow="0" w:frame="0"/>
              <w:bottom w:val="double" w:sz="6" w:space="0" w:shadow="0" w:frame="0"/>
              <w:right w:val="single" w:sz="4" w:space="0" w:shadow="0" w:frame="0"/>
            </w:tcBorders>
          </w:tcPr>
          <w:p>
            <w:pPr>
              <w:pStyle w:val="P46"/>
              <w:rPr>
                <w:rFonts w:ascii="Calibri" w:hAnsi="Calibri"/>
                <w:sz w:val="22"/>
              </w:rPr>
            </w:pPr>
          </w:p>
        </w:tc>
        <w:tc>
          <w:tcPr>
            <w:tcW w:w="2160" w:type="dxa"/>
            <w:tcBorders>
              <w:top w:val="single" w:sz="4" w:space="0" w:shadow="0" w:frame="0"/>
              <w:left w:val="single" w:sz="4" w:space="0" w:shadow="0" w:frame="0"/>
              <w:bottom w:val="double" w:sz="6" w:space="0" w:shadow="0" w:frame="0"/>
              <w:right w:val="single" w:sz="4" w:space="0" w:shadow="0" w:frame="0"/>
            </w:tcBorders>
          </w:tcPr>
          <w:p>
            <w:pPr>
              <w:pStyle w:val="P46"/>
              <w:rPr>
                <w:rFonts w:ascii="Calibri" w:hAnsi="Calibri"/>
                <w:sz w:val="22"/>
              </w:rPr>
            </w:pPr>
          </w:p>
        </w:tc>
        <w:tc>
          <w:tcPr>
            <w:tcW w:w="5683" w:type="dxa"/>
            <w:tcBorders>
              <w:top w:val="single" w:sz="4" w:space="0" w:shadow="0" w:frame="0"/>
              <w:left w:val="single" w:sz="4" w:space="0" w:shadow="0" w:frame="0"/>
              <w:bottom w:val="double" w:sz="6" w:space="0" w:shadow="0" w:frame="0"/>
              <w:right w:val="double" w:sz="6" w:space="0" w:shadow="0" w:frame="0"/>
            </w:tcBorders>
          </w:tcPr>
          <w:p>
            <w:pPr>
              <w:pStyle w:val="P46"/>
              <w:rPr>
                <w:rFonts w:ascii="Calibri" w:hAnsi="Calibri"/>
                <w:sz w:val="22"/>
              </w:rPr>
            </w:pPr>
          </w:p>
        </w:tc>
      </w:tr>
    </w:tbl>
    <w:p/>
    <w:p>
      <w:pPr>
        <w:pStyle w:val="P1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pPr>
        <w:pStyle w:val="P10"/>
      </w:pPr>
      <w:r>
        <w:br w:type="page"/>
      </w:r>
    </w:p>
    <w:p>
      <w:pPr>
        <w:pStyle w:val="P1"/>
      </w:pPr>
      <w:r>
        <w:t>GENERAL</w:t>
      </w:r>
    </w:p>
    <w:p>
      <w:pPr>
        <w:pStyle w:val="P2"/>
      </w:pPr>
      <w:r>
        <w:t xml:space="preserve">Scope </w:t>
      </w:r>
    </w:p>
    <w:p>
      <w:pPr>
        <w:pStyle w:val="P3"/>
      </w:pPr>
      <w:r>
        <w:t xml:space="preserve">The work consists of the mobilization and demobilization of the Contractor's forces and equipment necessary for performing the work required under the Contract.  It does not include mobilization and demobilization for specific items of work for which payment is provided elsewhere in the contract.  Mobilization will not be considered as work in fulfilling the Contract requirements for commencement of work.</w:t>
      </w:r>
    </w:p>
    <w:p>
      <w:pPr>
        <w:pStyle w:val="P2"/>
      </w:pPr>
      <w:r>
        <w:t>Related Sections</w:t>
      </w:r>
    </w:p>
    <w:p>
      <w:pPr>
        <w:pStyle w:val="P3"/>
        <w:numPr>
          <w:ilvl w:val="2"/>
          <w:numId w:val="0"/>
        </w:numPr>
        <w:ind w:firstLine="0" w:left="720"/>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Contractor is responsible for coordination of the Work.</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pPr>
      <w:r>
        <w:rPr>
          <w:highlight w:val="yellow"/>
        </w:rPr>
        <w:t>[List Sections specifying related requirements.]</w:t>
      </w:r>
    </w:p>
    <w:p>
      <w:pPr>
        <w:pStyle w:val="P3"/>
      </w:pPr>
      <w:r>
        <w:t xml:space="preserve">Section </w:t>
      </w:r>
      <w:r>
        <w:rPr>
          <w:highlight w:val="yellow"/>
        </w:rPr>
        <w:t>[______ – ____________]</w:t>
      </w:r>
      <w:r>
        <w:t xml:space="preserve">:  </w:t>
      </w:r>
      <w:r>
        <w:rPr>
          <w:highlight w:val="yellow"/>
        </w:rPr>
        <w:t>[Optional short phrase indicating relationship]</w:t>
      </w:r>
      <w:r>
        <w:t>.</w:t>
      </w:r>
    </w:p>
    <w:p>
      <w:pPr>
        <w:pStyle w:val="P4"/>
      </w:pPr>
      <w:r>
        <w:t>Sections::</w:t>
      </w:r>
    </w:p>
    <w:p>
      <w:pPr>
        <w:pStyle w:val="P5"/>
      </w:pPr>
      <w:r>
        <w:t>Section 01040 – Coordination</w:t>
      </w:r>
    </w:p>
    <w:p>
      <w:pPr>
        <w:pStyle w:val="P5"/>
      </w:pPr>
      <w:r>
        <w:t>Section 01060 – Regulatory Requirements</w:t>
      </w:r>
    </w:p>
    <w:p>
      <w:pPr>
        <w:pStyle w:val="P5"/>
      </w:pPr>
      <w:r>
        <w:t>Section 01355 – Waste Management and Disposal</w:t>
      </w:r>
    </w:p>
    <w:p>
      <w:pPr>
        <w:pStyle w:val="P5"/>
      </w:pPr>
      <w:r>
        <w:t>Section 01520 – Field Office</w:t>
      </w:r>
    </w:p>
    <w:p>
      <w:pPr>
        <w:pStyle w:val="P5"/>
      </w:pPr>
      <w:r>
        <w:t>Section 01600 – Material and Equipment</w:t>
      </w:r>
    </w:p>
    <w:p>
      <w:pPr>
        <w:pStyle w:val="P5"/>
      </w:pPr>
      <w:r>
        <w:t>Section 02821 – Chain Link Fence and Gates</w:t>
      </w:r>
    </w:p>
    <w:p>
      <w:pPr>
        <w:pStyle w:val="P2"/>
      </w:pPr>
      <w:r>
        <w:t>Measurement and Payment</w:t>
      </w:r>
    </w:p>
    <w:p>
      <w:pPr>
        <w:pStyle w:val="P3"/>
        <w:numPr>
          <w:ilvl w:val="2"/>
          <w:numId w:val="20"/>
        </w:numPr>
      </w:pPr>
      <w:r>
        <w:t xml:space="preserve">All costs associated with the work of this section shall be included in the price for Item No. </w:t>
      </w:r>
      <w:r>
        <w:rPr>
          <w:highlight w:val="yellow"/>
        </w:rPr>
        <w:t>XX</w:t>
      </w:r>
      <w:r>
        <w:t xml:space="preserve"> in the Bid Form.</w:t>
      </w:r>
    </w:p>
    <w:p>
      <w:pPr>
        <w:pStyle w:val="P3"/>
      </w:pPr>
      <w:r>
        <w:t>Payment for the Mobilization/Demobilization shall be made as follows:</w:t>
      </w:r>
    </w:p>
    <w:p>
      <w:pPr>
        <w:pStyle w:val="P4"/>
      </w:pPr>
      <w:r>
        <w:t>Sixty percent (60%) upon commencement of construction, after full mobilization has been completed. The payment for mobilization shall be included in the first payment certificate issued for the contract subject to the Consultant being satisfied that full mobilization has been carried out. If the Consultant is not so satisfied, the Consultant shall allow a payment in an amount which, in the Consultant’s opinion, reflects the degree of mobilization effected to date.</w:t>
      </w:r>
    </w:p>
    <w:p>
      <w:pPr>
        <w:pStyle w:val="P4"/>
      </w:pPr>
      <w:r>
        <w:t>Progressively from 60% at the commencement of construction to 85% at substantial performance of the work (a total of 25% prorated over the contract).</w:t>
      </w:r>
    </w:p>
    <w:p>
      <w:pPr>
        <w:pStyle w:val="P4"/>
      </w:pPr>
      <w:r>
        <w:t>The remaining 15% is to be paid upon total performance of the work.</w:t>
      </w:r>
    </w:p>
    <w:p>
      <w:pPr>
        <w:pStyle w:val="P3"/>
      </w:pPr>
      <w:r>
        <w:t>The price entered for this item shall be consistent with the costs involved but should not, in any event, exceed three percent (3%) of the Estimated Contract Price. In the event that this item exceeds three percent (3%) of the Estimated Contract Price the Region reserves the right, in its sole discretion, to apportion some or all of the value of this item to demobilization component, which will be paid upon the completion of demobilization.</w:t>
      </w:r>
    </w:p>
    <w:p>
      <w:pPr>
        <w:pStyle w:val="P3"/>
      </w:pPr>
      <w:r>
        <w:t>This item shall not include the costs of mobilization and demobilization of equipment used exclusively for trenchless installations.</w:t>
      </w:r>
    </w:p>
    <w:p>
      <w:pPr>
        <w:pStyle w:val="P2"/>
      </w:pPr>
      <w:r>
        <w:t>Submittals</w:t>
      </w:r>
    </w:p>
    <w:p>
      <w:pPr>
        <w:pStyle w:val="P3"/>
      </w:pPr>
      <w:r>
        <w:t>Informational Submittals:</w:t>
      </w:r>
    </w:p>
    <w:p>
      <w:pPr>
        <w:pStyle w:val="P4"/>
      </w:pPr>
      <w:r>
        <w:t>Copies of permits and approvals for construction as required by any applicable laws and regulations and governing agencies. Proof of compliance with relevant requirements under Section 01060 – Regulatory Requirements including all reports received from approving agencies.</w:t>
      </w:r>
    </w:p>
    <w:p>
      <w:pPr>
        <w:pStyle w:val="P4"/>
      </w:pPr>
      <w:r>
        <w:t>Temporary Utility Submittals:</w:t>
      </w:r>
    </w:p>
    <w:p>
      <w:pPr>
        <w:pStyle w:val="P5"/>
      </w:pPr>
      <w:r>
        <w:t>Electric power supply.</w:t>
      </w:r>
    </w:p>
    <w:p>
      <w:pPr>
        <w:pStyle w:val="P5"/>
      </w:pPr>
      <w:r>
        <w:t>Water supply.</w:t>
      </w:r>
    </w:p>
    <w:p>
      <w:pPr>
        <w:pStyle w:val="P4"/>
      </w:pPr>
      <w:r>
        <w:t>Temporary Construction Submittals:</w:t>
      </w:r>
    </w:p>
    <w:p>
      <w:pPr>
        <w:pStyle w:val="P5"/>
      </w:pPr>
      <w:r>
        <w:t>Parking area plans.</w:t>
      </w:r>
    </w:p>
    <w:p>
      <w:pPr>
        <w:pStyle w:val="P5"/>
      </w:pPr>
      <w:r>
        <w:t>Contractor’s field office layout, storage yard, lay-down areas and storage building plans, including gravel surfaced areas.</w:t>
      </w:r>
    </w:p>
    <w:p>
      <w:pPr>
        <w:pStyle w:val="P5"/>
      </w:pPr>
      <w:r>
        <w:t>Fencing and protective barrier locations and details.</w:t>
      </w:r>
    </w:p>
    <w:p>
      <w:pPr>
        <w:pStyle w:val="P5"/>
      </w:pPr>
      <w:r>
        <w:t>Traffic Control and Routing Plans: As specified herein, and any proposed revisions thereto.</w:t>
      </w:r>
    </w:p>
    <w:p>
      <w:pPr>
        <w:pStyle w:val="P2"/>
      </w:pPr>
      <w:r>
        <w:t>Mobilization</w:t>
      </w:r>
    </w:p>
    <w:p>
      <w:pPr>
        <w:pStyle w:val="P3"/>
      </w:pPr>
      <w:r>
        <w:t>Mobilization shall include, but not be limited to, these principal items:</w:t>
      </w:r>
    </w:p>
    <w:p>
      <w:pPr>
        <w:pStyle w:val="P4"/>
      </w:pPr>
      <w:r>
        <w:t>Obtaining the required permits.</w:t>
      </w:r>
    </w:p>
    <w:p>
      <w:pPr>
        <w:pStyle w:val="P4"/>
      </w:pPr>
      <w:r>
        <w:t>Moving the Contractor’s field office and equipment required for the first month of operations onto the Site.</w:t>
      </w:r>
    </w:p>
    <w:p>
      <w:pPr>
        <w:pStyle w:val="P4"/>
      </w:pPr>
      <w:r>
        <w:t>Installing temporary construction power, wiring, and lighting facilities.</w:t>
      </w:r>
    </w:p>
    <w:p>
      <w:pPr>
        <w:pStyle w:val="P4"/>
      </w:pPr>
      <w:r>
        <w:t>Providing dependable onsite communication facilities at the Site, including but not limited to, telephones and internet access. Wireless communication can only be considered after verifying that the Site location signal strength from service providers is sufficient.</w:t>
      </w:r>
    </w:p>
    <w:p>
      <w:pPr>
        <w:pStyle w:val="P4"/>
      </w:pPr>
      <w:r>
        <w:t>Providing sanitary facilities and potable water facilities at the Site, as specified in the Contract Documents and as required by the applicable laws, regulations, and governing agencies.</w:t>
      </w:r>
    </w:p>
    <w:p>
      <w:pPr>
        <w:pStyle w:val="P4"/>
      </w:pPr>
      <w:r>
        <w:t>Arranging for, and erection of, the Contractor’s work and storage yard.</w:t>
      </w:r>
    </w:p>
    <w:p>
      <w:pPr>
        <w:pStyle w:val="P4"/>
      </w:pPr>
      <w:r>
        <w:t>Posting the Occupational Health and Safety Act and required notices in an accessible location at the Site and establishing safety programs and procedures.</w:t>
      </w:r>
    </w:p>
    <w:p>
      <w:pPr>
        <w:pStyle w:val="P4"/>
      </w:pPr>
      <w:r>
        <w:t>Having the Contractor’s superintendent at the Site on a full time basis.</w:t>
      </w:r>
    </w:p>
    <w:p>
      <w:pPr>
        <w:pStyle w:val="P3"/>
      </w:pPr>
      <w:r>
        <w:t>The Contractor is responsible for identifying suitable premises for establishment of the Site offices, work area and storage yard, and for all necessary arrangements required to secure use of these premises for the duration of the Contract Works.</w:t>
      </w:r>
    </w:p>
    <w:p>
      <w:pPr>
        <w:pStyle w:val="P2"/>
      </w:pPr>
      <w:r>
        <w:t>Protection of Work and Property</w:t>
      </w:r>
    </w:p>
    <w:p>
      <w:pPr>
        <w:pStyle w:val="P3"/>
      </w:pPr>
      <w:r>
        <w:t>The Contractor shall comply with the Region’s safety rules, including but not limited to the Region’s Health and Safety Guide for Construction Contractors, while on the Region’s and Local Municipalities’ properties.</w:t>
      </w:r>
    </w:p>
    <w:p>
      <w:pPr>
        <w:pStyle w:val="P1"/>
      </w:pPr>
      <w:r>
        <w:t>PRODUCTS</w:t>
      </w:r>
    </w:p>
    <w:p>
      <w:pPr>
        <w:pStyle w:val="P2"/>
        <w:numPr>
          <w:ilvl w:val="1"/>
          <w:numId w:val="19"/>
        </w:numPr>
      </w:pPr>
      <w:r>
        <w:t>Temporary Fencing</w:t>
      </w:r>
    </w:p>
    <w:p>
      <w:pPr>
        <w:pStyle w:val="P3"/>
      </w:pPr>
      <w:r>
        <w:t xml:space="preserve">The Contractor shall supply and install temporary fast fencing, a minimum 2.0 m high, as shown on the Contract Drawings and/or as directed by the Consultant. </w:t>
      </w:r>
    </w:p>
    <w:p>
      <w:pPr>
        <w:pStyle w:val="P3"/>
        <w:rPr>
          <w:lang w:val="en-CA"/>
        </w:rPr>
      </w:pPr>
      <w:r>
        <w:t>F</w:t>
      </w:r>
      <w:r>
        <w:rPr>
          <w:lang w:val="en-CA"/>
        </w:rPr>
        <w:t xml:space="preserve">ast </w:t>
      </w:r>
      <w:r>
        <w:t>fencing material</w:t>
      </w:r>
      <w:r>
        <w:rPr>
          <w:lang w:val="en-CA"/>
        </w:rPr>
        <w:t xml:space="preserve"> shall be chain link type and erected to the satisfaction of the Consultant.</w:t>
      </w:r>
    </w:p>
    <w:p>
      <w:pPr>
        <w:pStyle w:val="P3"/>
        <w:rPr>
          <w:lang w:val="en-CA"/>
        </w:rPr>
      </w:pPr>
      <w:r>
        <w:rPr>
          <w:lang w:val="en-CA"/>
        </w:rPr>
        <w:t xml:space="preserve">All disturbed areas shall be restored to </w:t>
      </w:r>
      <w:r>
        <w:t>a condition equal to or better than its original pre-construction conditions</w:t>
      </w:r>
      <w:r>
        <w:rPr>
          <w:lang w:val="en-CA"/>
        </w:rPr>
        <w:t xml:space="preserve"> upon the removal of the temporary fencing.</w:t>
      </w:r>
    </w:p>
    <w:p>
      <w:pPr>
        <w:pStyle w:val="P1"/>
      </w:pPr>
      <w:r>
        <w:t>EXECUTION</w:t>
      </w:r>
    </w:p>
    <w:p>
      <w:pPr>
        <w:pStyle w:val="P2"/>
      </w:pPr>
      <w:r>
        <w:t>Mobilization</w:t>
      </w:r>
    </w:p>
    <w:p>
      <w:pPr>
        <w:pStyle w:val="P3"/>
      </w:pPr>
      <w:r>
        <w:t xml:space="preserve">The Contractor shall be responsible to find a site for its construction yard, which is sufficient to contain the construction trailers, materials storage, equipment storage, etc.  This location shall be outside of floodplain areas and shall not contain stockpiled excavated earth, garbage or materials not related to this Contract. The Contractor shall obtain written permission from the Local Municipality, the Region and/or private property owners for each construction yard utilized under this Contract, and the yard shall conform to all current municipal zoning bylaws and other relevant municipal and provincial laws and regulations.</w:t>
      </w:r>
    </w:p>
    <w:p>
      <w:pPr>
        <w:pStyle w:val="P3"/>
      </w:pPr>
      <w:r>
        <w:t>The Contractor shall make its own arrangements to bring power and communications lines into the Site, including the costs of any permits and approvals required.</w:t>
      </w:r>
    </w:p>
    <w:p>
      <w:pPr>
        <w:pStyle w:val="P3"/>
      </w:pPr>
      <w:r>
        <w:t>The yard(s) shall be properly secured in order to prohibit access to the yard(s) by, and ensure the safety of, the general public and/or as required by the Region.</w:t>
      </w:r>
    </w:p>
    <w:p>
      <w:pPr>
        <w:pStyle w:val="P3"/>
      </w:pPr>
      <w:r>
        <w:t>Posting the Occupational Health and Safety Act and required notices in an accessible location at the Site and establishing safety programs and procedures.</w:t>
      </w:r>
    </w:p>
    <w:p>
      <w:pPr>
        <w:pStyle w:val="P3"/>
      </w:pPr>
      <w:r>
        <w:t xml:space="preserve">The Contractor shall comply with the Region’s safety rules, including but not limited to the Region’s Health and Safety </w:t>
      </w:r>
      <w:bookmarkStart w:id="0" w:name="_GoBack"/>
      <w:r>
        <w:t>Guide</w:t>
      </w:r>
      <w:bookmarkEnd w:id="0"/>
      <w:r>
        <w:t xml:space="preserve"> for Construction Contractors, while performing the Work and /or while on the Region’s property.</w:t>
        <w:tab/>
      </w:r>
    </w:p>
    <w:p>
      <w:pPr>
        <w:pStyle w:val="P2"/>
      </w:pPr>
      <w:r>
        <w:t>Demobilization</w:t>
      </w:r>
    </w:p>
    <w:p>
      <w:pPr>
        <w:pStyle w:val="P3"/>
      </w:pPr>
      <w:r>
        <w:t xml:space="preserve">Demobilization shall include the removal of all temporary facilities, driveways and roads, granular surfaces, temporary cables, fencing, barricades, materials, and garbage. All sites used by the Contractor as construction yards, or for temporary construction, shall be reinstated to their pre-construction condition or better, including fine grading, seeding or sodding as agreed with the property owners. </w:t>
      </w:r>
    </w:p>
    <w:p>
      <w:pPr>
        <w:pStyle w:val="P2"/>
      </w:pPr>
      <w:r>
        <w:t>Site Security</w:t>
      </w:r>
    </w:p>
    <w:p>
      <w:pPr>
        <w:pStyle w:val="P3"/>
      </w:pPr>
      <w:r>
        <w:t>Erect a temporary security fence at the limits of the Site for the protection of the new facilities and to deter public access to the Site. Maintain the fence throughout the duration of the Contract. Obtain the Consultant’s written permission before the removal of any temporary security fencing.</w:t>
      </w:r>
    </w:p>
    <w:p>
      <w:pPr>
        <w:pStyle w:val="P3"/>
      </w:pPr>
      <w:r>
        <w:t>Coordinate security approach with Corporate Security group (York Region) and ensure Region sign-off on Contractor security measures and plan as they relate to Region facilities and property.</w:t>
      </w:r>
    </w:p>
    <w:p>
      <w:pPr>
        <w:pStyle w:val="P3"/>
      </w:pPr>
      <w:r>
        <w:t>Provide and maintain additional temporary security fences, as necessary, to protect the Work and any Contractor furnished Products not yet installed. Contractor is responsible for replacing any materials and/or equipment damaged or stolen at no cost to the Region.</w:t>
      </w:r>
    </w:p>
    <w:p>
      <w:pPr>
        <w:pStyle w:val="P2"/>
      </w:pPr>
      <w:r>
        <w:t>Storage Yards and Buildings</w:t>
      </w:r>
    </w:p>
    <w:p>
      <w:pPr>
        <w:pStyle w:val="P3"/>
      </w:pPr>
      <w:r>
        <w:t xml:space="preserve">Temporary Storage Yards: </w:t>
      </w:r>
    </w:p>
    <w:p>
      <w:pPr>
        <w:pStyle w:val="P4"/>
      </w:pPr>
      <w:r>
        <w:t xml:space="preserve">Construct temporary storage yards for the storage of Products that are not susceptible to damage from weather conditions. </w:t>
      </w:r>
    </w:p>
    <w:p>
      <w:pPr>
        <w:pStyle w:val="P4"/>
      </w:pPr>
      <w:r>
        <w:t xml:space="preserve">Temporary storage yards must not be built over underground process structures without approval of the Consultant. </w:t>
      </w:r>
    </w:p>
    <w:p>
      <w:pPr>
        <w:pStyle w:val="P4"/>
      </w:pPr>
      <w:r>
        <w:t>No activities are permitted over underground structures without assessing structure roof slab load bearing capabilities and any potential for fuel, lubricant or other liquid chemical leaks that spill onto the overburden of such structures.</w:t>
      </w:r>
    </w:p>
    <w:p>
      <w:pPr>
        <w:pStyle w:val="P3"/>
      </w:pPr>
      <w:r>
        <w:t>Temporary Storage Buildings:</w:t>
      </w:r>
    </w:p>
    <w:p>
      <w:pPr>
        <w:pStyle w:val="P4"/>
      </w:pPr>
      <w:r>
        <w:t>Provide environmental control systems that meet the recommendations of the manufacturers of any equipment and materials stored.</w:t>
      </w:r>
    </w:p>
    <w:p>
      <w:pPr>
        <w:pStyle w:val="P4"/>
      </w:pPr>
      <w:r>
        <w:t>Arrange or partition temporary storage buildings in order to provide security of contents and ready access for inspection and inventory.</w:t>
      </w:r>
    </w:p>
    <w:p>
      <w:pPr>
        <w:pStyle w:val="P4"/>
      </w:pPr>
      <w:r>
        <w:t xml:space="preserve">Store combustible materials (paints, solvents, fuels) in a well ventilated and remote building  which meets all applicable safety standards.</w:t>
      </w:r>
    </w:p>
    <w:p>
      <w:pPr>
        <w:pStyle w:val="P4"/>
      </w:pPr>
      <w:r>
        <w:t>Equipment, Tool and Materials Storage:</w:t>
      </w:r>
    </w:p>
    <w:p>
      <w:pPr>
        <w:pStyle w:val="P5"/>
      </w:pPr>
      <w:r>
        <w:t>Provide and maintain, in a clean and orderly condition, lockable weatherproof sheds for storage of tools, equipment and materials.</w:t>
      </w:r>
    </w:p>
    <w:p>
      <w:pPr>
        <w:pStyle w:val="P5"/>
      </w:pPr>
      <w:r>
        <w:t>Locate materials not required to be stored in weatherproof sheds on site in a manner to cause least interference with work activities.</w:t>
      </w:r>
    </w:p>
    <w:p>
      <w:pPr>
        <w:pStyle w:val="P2"/>
      </w:pPr>
      <w:r>
        <w:t>Parking Areas</w:t>
      </w:r>
    </w:p>
    <w:p>
      <w:pPr>
        <w:pStyle w:val="P3"/>
      </w:pPr>
      <w:r>
        <w:t>Control vehicular parking to avoid interference with public traffic or parking and access by emergency vehicles, the Region’s operations staff, or construction operations.</w:t>
      </w:r>
    </w:p>
    <w:p>
      <w:pPr>
        <w:pStyle w:val="P3"/>
      </w:pPr>
      <w:r>
        <w:t>Provide parking facilities for personnel working at the Site. No employee or equipment parking will be permitted on the Site, except in areas specifically designated for the Contractor’s use.</w:t>
      </w:r>
    </w:p>
    <w:p>
      <w:pPr>
        <w:pStyle w:val="P3"/>
      </w:pPr>
      <w:r>
        <w:t>Use the area designated on the Contract Drawings for the parking of the Contractor’s and the Contractor’s employees’ vehicles.</w:t>
      </w:r>
    </w:p>
    <w:p>
      <w:pPr>
        <w:pStyle w:val="P3"/>
      </w:pPr>
      <w:r>
        <w:t>Parking will be permitted on site provided it does not disrupt performance of work or operation of the facility, if applicable.</w:t>
      </w:r>
    </w:p>
    <w:p>
      <w:pPr>
        <w:pStyle w:val="P3"/>
      </w:pPr>
      <w:r>
        <w:t>Provide and maintain adequate access to project Site parking areas.</w:t>
      </w:r>
    </w:p>
    <w:p>
      <w:pPr>
        <w:pStyle w:val="P3"/>
      </w:pPr>
      <w:r>
        <w:t>Due to space limitations at existing facilities, when necessary, the Contractor shall arrange and pay for any additional parking facilities required for its staff at an off-site location.</w:t>
      </w:r>
    </w:p>
    <w:p>
      <w:pPr>
        <w:pStyle w:val="P2"/>
      </w:pPr>
      <w:r>
        <w:t>Concrete Batch Plant</w:t>
      </w:r>
    </w:p>
    <w:p>
      <w:pPr>
        <w:pStyle w:val="P3"/>
      </w:pPr>
      <w:r>
        <w:t>Due to the following site specific issues:</w:t>
      </w:r>
    </w:p>
    <w:p>
      <w:pPr>
        <w:pStyle w:val="P4"/>
      </w:pPr>
      <w:r>
        <w:t>Delay in crossing of rail tracks</w:t>
      </w:r>
    </w:p>
    <w:p>
      <w:pPr>
        <w:pStyle w:val="P4"/>
      </w:pPr>
      <w:r>
        <w:t xml:space="preserve">Quantity of concrete required </w:t>
      </w:r>
    </w:p>
    <w:p>
      <w:pPr>
        <w:pStyle w:val="P3"/>
      </w:pPr>
      <w:r>
        <w:t>The Contractor may wish to provide a temporary concrete batch plant at the Site during the performance of the Work. This will be permitted provided there is no additional cost to the Region and the Contractor provides a proposal of the location, type of facility, haulage routes, appropriate clean-up and restoration at the end of construction which is acceptable to the Region.</w:t>
      </w:r>
    </w:p>
    <w:p>
      <w:pPr>
        <w:pStyle w:val="P44"/>
        <w:spacing w:before="240" w:beforeAutospacing="0" w:afterAutospacing="0"/>
        <w:jc w:val="center"/>
        <w:rPr>
          <w:rFonts w:ascii="Calibri" w:hAnsi="Calibri"/>
          <w:b w:val="1"/>
          <w:sz w:val="22"/>
        </w:rPr>
      </w:pPr>
      <w:r>
        <w:rPr>
          <w:rFonts w:ascii="Calibri" w:hAnsi="Calibri"/>
          <w:b w:val="1"/>
          <w:sz w:val="22"/>
        </w:rPr>
        <w:t>END OF SECTION</w:t>
      </w:r>
    </w:p>
    <w:p>
      <w:pPr>
        <w:pStyle w:val="P44"/>
        <w:spacing w:before="240" w:beforeAutospacing="0" w:afterAutospacing="0"/>
        <w:rPr>
          <w:rFonts w:ascii="Calibri" w:hAnsi="Calibri"/>
          <w:b w:val="1"/>
          <w:sz w:val="22"/>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44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pPr>
    <w:r>
      <w:t>CONTRACT NO</w:t>
    </w:r>
    <w:r>
      <w:rPr>
        <w:highlight w:val="lightGray"/>
      </w:rPr>
      <w:t>.... [Insert Region Number]</w:t>
    </w:r>
    <w:r>
      <w:tab/>
      <w:t>Section 01500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pPr>
    <w:r>
      <w:rPr>
        <w:b w:val="1"/>
      </w:rPr>
      <w:tab/>
      <w:t>CONSTRUCTION FACILITIES AND TEMPORARY CONTROLS</w:t>
    </w:r>
    <w:r>
      <w:tab/>
      <w:t>2013-07-23</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pPr>
    <w:r>
      <w:t xml:space="preserve">DATE:  </w:t>
    </w:r>
    <w:r>
      <w:rPr>
        <w:highlight w:val="lightGray"/>
      </w:rPr>
      <w:t>[Insert Date, (e.g. Jan., 2000)]</w:t>
    </w:r>
    <w:r>
      <w:tab/>
      <w:tab/>
      <w:t xml:space="preserve">Page </w:t>
    </w:r>
    <w:r>
      <w:fldChar w:fldCharType="begin"/>
    </w:r>
    <w:r>
      <w:instrText xml:space="preserve">PAGE </w:instrText>
    </w:r>
    <w:r>
      <w:fldChar w:fldCharType="separate"/>
    </w:r>
    <w:r>
      <w:t>#</w:t>
    </w:r>
    <w:r>
      <w:fldChar w:fldCharType="end"/>
    </w:r>
    <w:r>
      <w:t xml:space="preserve"> of </w:t>
    </w:r>
    <w:r>
      <w:rPr>
        <w:rStyle w:val="C5"/>
        <w:caps w:val="1"/>
        <w:sz w:val="22"/>
      </w:rPr>
      <w:fldChar w:fldCharType="begin"/>
    </w:r>
    <w:r>
      <w:rPr>
        <w:rStyle w:val="C5"/>
        <w:caps w:val="1"/>
        <w:sz w:val="22"/>
      </w:rPr>
      <w:instrText xml:space="preserve"> NUMPAGES </w:instrText>
    </w:r>
    <w:r>
      <w:rPr>
        <w:rStyle w:val="C5"/>
        <w:caps w:val="1"/>
        <w:sz w:val="22"/>
      </w:rPr>
      <w:fldChar w:fldCharType="separate"/>
    </w:r>
    <w:r>
      <w:rPr>
        <w:rStyle w:val="C5"/>
        <w:caps w:val="1"/>
        <w:sz w:val="22"/>
      </w:rPr>
      <w:t>#</w:t>
    </w:r>
    <w:r>
      <w:rPr>
        <w:rStyle w:val="C5"/>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rPr>
        <w:rFonts w:ascii="Calibri (Body)" w:hAnsi="Calibri (Body)"/>
        <w:sz w:val="22"/>
      </w:rPr>
      <w:t>CONTRACT NO. SSTR4559</w:t>
      <w:tab/>
      <w:t>Section 01505</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rFonts w:ascii="Calibri (Body)" w:hAnsi="Calibri (Body)"/>
        <w:b w:val="1"/>
        <w:sz w:val="22"/>
      </w:rPr>
      <w:tab/>
      <w:t>MOBILIZATION AND DEMOBILIZATION</w:t>
    </w:r>
    <w:r>
      <w:rPr>
        <w:rFonts w:ascii="Calibri (Body)" w:hAnsi="Calibri (Body)"/>
        <w:sz w:val="22"/>
      </w:rPr>
      <w:tab/>
      <w:t>2021-03-09</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3"/>
      <w:spacing w:after="240" w:beforeAutospacing="0" w:afterAutospacing="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rPr>
        <w:rFonts w:ascii="Calibri (Body)" w:hAnsi="Calibri (Body)"/>
        <w:sz w:val="22"/>
      </w:rPr>
      <w:t>Section 01505</w:t>
      <w:tab/>
      <w:t>CONTRACT NO. SSTR4559</w:t>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rFonts w:ascii="Calibri (Body)" w:hAnsi="Calibri (Body)"/>
        <w:sz w:val="22"/>
      </w:rPr>
      <w:t>2021-03-09</w:t>
    </w:r>
    <w:r>
      <w:rPr>
        <w:rFonts w:ascii="Calibri (Body)" w:hAnsi="Calibri (Body)"/>
        <w:b w:val="1"/>
        <w:sz w:val="22"/>
      </w:rPr>
      <w:tab/>
      <w:t>MOBILIZATION AND DEMOBILIZATION</w:t>
    </w:r>
    <w:r>
      <w:rPr>
        <w:rFonts w:ascii="Calibri (Body)" w:hAnsi="Calibri (Body)"/>
        <w:sz w:val="22"/>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289169BD">
      <w:start w:val="1"/>
      <w:numFmt w:val="decimal"/>
      <w:suff w:val="tab"/>
      <w:lvlText w:val="%1."/>
      <w:lvlJc w:val="left"/>
      <w:pPr/>
      <w:rPr/>
    </w:lvl>
    <w:lvl w:ilvl="2" w:tplc="22EDC1C2">
      <w:start w:val="1"/>
      <w:numFmt w:val="decimal"/>
      <w:suff w:val="tab"/>
      <w:lvlText w:val="%1."/>
      <w:lvlJc w:val="left"/>
      <w:pPr/>
      <w:rPr/>
    </w:lvl>
    <w:lvl w:ilvl="3" w:tplc="082F2D0A">
      <w:start w:val="1"/>
      <w:numFmt w:val="decimal"/>
      <w:suff w:val="tab"/>
      <w:lvlText w:val="%1."/>
      <w:lvlJc w:val="left"/>
      <w:pPr/>
      <w:rPr/>
    </w:lvl>
    <w:lvl w:ilvl="4" w:tplc="17B2E112">
      <w:start w:val="1"/>
      <w:numFmt w:val="decimal"/>
      <w:suff w:val="tab"/>
      <w:lvlText w:val="%1."/>
      <w:lvlJc w:val="left"/>
      <w:pPr/>
      <w:rPr/>
    </w:lvl>
    <w:lvl w:ilvl="5" w:tplc="6C0647BB">
      <w:start w:val="1"/>
      <w:numFmt w:val="decimal"/>
      <w:suff w:val="tab"/>
      <w:lvlText w:val="%1."/>
      <w:lvlJc w:val="left"/>
      <w:pPr/>
      <w:rPr/>
    </w:lvl>
    <w:lvl w:ilvl="6" w:tplc="6BC496E2">
      <w:start w:val="1"/>
      <w:numFmt w:val="decimal"/>
      <w:suff w:val="tab"/>
      <w:lvlText w:val="%1."/>
      <w:lvlJc w:val="left"/>
      <w:pPr/>
      <w:rPr/>
    </w:lvl>
    <w:lvl w:ilvl="7" w:tplc="77E6E042">
      <w:start w:val="1"/>
      <w:numFmt w:val="decimal"/>
      <w:suff w:val="tab"/>
      <w:lvlText w:val="%1."/>
      <w:lvlJc w:val="left"/>
      <w:pPr/>
      <w:rPr/>
    </w:lvl>
    <w:lvl w:ilvl="8" w:tplc="7CE41397">
      <w:start w:val="1"/>
      <w:numFmt w:val="decimal"/>
      <w:suff w:val="tab"/>
      <w:lvlText w:val="%1."/>
      <w:lvlJc w:val="left"/>
      <w:pPr/>
      <w:rPr/>
    </w:lvl>
  </w:abstractNum>
  <w:abstractNum w:abstractNumId="1">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30823425"/>
    <w:multiLevelType w:val="multilevel"/>
    <w:lvl w:ilvl="0">
      <w:start w:val="1"/>
      <w:numFmt w:val="decimal"/>
      <w:suff w:val="tab"/>
      <w:lvlText w:val="Part %1"/>
      <w:lvlJc w:val="left"/>
      <w:pPr>
        <w:ind w:hanging="1440" w:left="1440"/>
        <w:tabs>
          <w:tab w:val="left" w:pos="1440" w:leader="none"/>
        </w:tabs>
      </w:pPr>
      <w:rPr>
        <w:caps w:val="1"/>
        <w:u w:val="single"/>
      </w:rPr>
    </w:lvl>
    <w:lvl w:ilvl="1">
      <w:start w:val="1"/>
      <w:numFmt w:val="decimal"/>
      <w:suff w:val="tab"/>
      <w:lvlText w:val="%1.%2"/>
      <w:lvlJc w:val="left"/>
      <w:pPr>
        <w:ind w:hanging="1440" w:left="1440"/>
        <w:tabs>
          <w:tab w:val="left" w:pos="1440" w:leader="none"/>
        </w:tabs>
      </w:pPr>
      <w:rPr/>
    </w:lvl>
    <w:lvl w:ilvl="2">
      <w:start w:val="1"/>
      <w:numFmt w:val="decimal"/>
      <w:suff w:val="tab"/>
      <w:lvlText w:val=".%3"/>
      <w:lvlJc w:val="left"/>
      <w:pPr>
        <w:ind w:hanging="720" w:left="1440"/>
        <w:tabs>
          <w:tab w:val="left" w:pos="1440" w:leader="none"/>
        </w:tabs>
      </w:pPr>
      <w:rPr/>
    </w:lvl>
    <w:lvl w:ilvl="3">
      <w:start w:val="1"/>
      <w:numFmt w:val="decimal"/>
      <w:suff w:val="tab"/>
      <w:lvlText w:val=".%4"/>
      <w:lvlJc w:val="left"/>
      <w:pPr>
        <w:ind w:hanging="720" w:left="2160"/>
        <w:tabs>
          <w:tab w:val="left" w:pos="2160" w:leader="none"/>
        </w:tabs>
      </w:pPr>
      <w:rPr/>
    </w:lvl>
    <w:lvl w:ilvl="4">
      <w:start w:val="1"/>
      <w:numFmt w:val="decimal"/>
      <w:suff w:val="tab"/>
      <w:lvlText w:val=".%5"/>
      <w:lvlJc w:val="left"/>
      <w:pPr>
        <w:ind w:hanging="720" w:left="2880"/>
        <w:tabs>
          <w:tab w:val="left" w:pos="2880" w:leader="none"/>
        </w:tabs>
      </w:pPr>
      <w:rPr/>
    </w:lvl>
    <w:lvl w:ilvl="5">
      <w:start w:val="1"/>
      <w:numFmt w:val="decimal"/>
      <w:suff w:val="tab"/>
      <w:lvlText w:val=".%6"/>
      <w:lvlJc w:val="left"/>
      <w:pPr>
        <w:ind w:hanging="720" w:left="3600"/>
        <w:tabs>
          <w:tab w:val="left" w:pos="3600" w:leader="none"/>
        </w:tabs>
      </w:pPr>
      <w:rPr/>
    </w:lvl>
    <w:lvl w:ilvl="6">
      <w:start w:val="1"/>
      <w:numFmt w:val="decimal"/>
      <w:suff w:val="tab"/>
      <w:lvlText w:val=".%7"/>
      <w:lvlJc w:val="left"/>
      <w:pPr>
        <w:ind w:hanging="720" w:left="4320"/>
        <w:tabs>
          <w:tab w:val="left" w:pos="4320" w:leader="none"/>
        </w:tabs>
      </w:pPr>
      <w:rPr/>
    </w:lvl>
    <w:lvl w:ilvl="7">
      <w:start w:val="1"/>
      <w:numFmt w:val="decimal"/>
      <w:suff w:val="tab"/>
      <w:lvlText w:val=".%8"/>
      <w:lvlJc w:val="left"/>
      <w:pPr>
        <w:ind w:hanging="720" w:left="5040"/>
        <w:tabs>
          <w:tab w:val="left" w:pos="5040" w:leader="none"/>
        </w:tabs>
      </w:pPr>
      <w:rPr/>
    </w:lvl>
    <w:lvl w:ilvl="8">
      <w:start w:val="1"/>
      <w:numFmt w:val="decimal"/>
      <w:suff w:val="tab"/>
      <w:lvlText w:val=".%9"/>
      <w:lvlJc w:val="left"/>
      <w:pPr>
        <w:ind w:hanging="720" w:left="5760"/>
        <w:tabs>
          <w:tab w:val="left" w:pos="5760" w:leader="none"/>
        </w:tabs>
      </w:pPr>
      <w:rPr/>
    </w:lvl>
  </w:abstractNum>
  <w:abstractNum w:abstractNumId="5">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350"/>
        <w:tabs>
          <w:tab w:val="left" w:pos="1350" w:leader="none"/>
        </w:tabs>
      </w:pPr>
      <w:rPr>
        <w:rFonts w:ascii="Calibri" w:hAnsi="Calibri"/>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pStyle w:val="P8"/>
      <w:suff w:val="tab"/>
      <w:lvlText w:val=".%8"/>
      <w:lvlJc w:val="left"/>
      <w:pPr>
        <w:ind w:hanging="720" w:left="5040"/>
        <w:tabs>
          <w:tab w:val="left" w:pos="5040" w:leader="none"/>
        </w:tabs>
      </w:pPr>
      <w:rPr>
        <w:rFonts w:ascii="Calibri" w:hAnsi="Calibri"/>
        <w:b w:val="0"/>
        <w:i w:val="0"/>
        <w:sz w:val="22"/>
      </w:rPr>
    </w:lvl>
    <w:lvl w:ilvl="8">
      <w:start w:val="1"/>
      <w:numFmt w:val="decimal"/>
      <w:pStyle w:val="P9"/>
      <w:suff w:val="tab"/>
      <w:lvlText w:val=".%9"/>
      <w:lvlJc w:val="left"/>
      <w:pPr>
        <w:ind w:hanging="720" w:left="5760"/>
        <w:tabs>
          <w:tab w:val="left" w:pos="5760" w:leader="none"/>
        </w:tabs>
      </w:pPr>
      <w:rPr>
        <w:rFonts w:ascii="Calibri" w:hAnsi="Calibri"/>
        <w:b w:val="0"/>
        <w:i w:val="0"/>
        <w:sz w:val="22"/>
      </w:rPr>
    </w:lvl>
  </w:abstractNum>
  <w:abstractNum w:abstractNumId="8">
    <w:nsid w:val="50407D28"/>
    <w:multiLevelType w:val="multilevel"/>
    <w:lvl w:ilvl="0">
      <w:start w:val="1"/>
      <w:numFmt w:val="decimal"/>
      <w:suff w:val="tab"/>
      <w:lvlText w:val="PART %1."/>
      <w:lvlJc w:val="left"/>
      <w:pPr>
        <w:ind w:hanging="432" w:left="432"/>
        <w:tabs>
          <w:tab w:val="left" w:pos="432" w:leader="none"/>
        </w:tabs>
      </w:pPr>
      <w:rPr>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Calibri" w:hAnsi="Calibri"/>
        <w:color w:val="000000"/>
        <w:sz w:val="22"/>
      </w:rPr>
    </w:lvl>
    <w:lvl w:ilvl="3">
      <w:start w:val="1"/>
      <w:numFmt w:val="decimal"/>
      <w:suff w:val="tab"/>
      <w:lvlText w:val=".%4"/>
      <w:lvlJc w:val="left"/>
      <w:pPr>
        <w:ind w:firstLine="3456" w:left="864"/>
        <w:tabs>
          <w:tab w:val="left" w:pos="864" w:leader="none"/>
        </w:tabs>
      </w:pPr>
      <w:rPr>
        <w:rFonts w:ascii="Calibri" w:hAnsi="Calibri"/>
      </w:rPr>
    </w:lvl>
    <w:lvl w:ilvl="4">
      <w:start w:val="1"/>
      <w:numFmt w:val="decimal"/>
      <w:suff w:val="tab"/>
      <w:lvlText w:val="%5."/>
      <w:lvlJc w:val="left"/>
      <w:pPr>
        <w:ind w:firstLine="4320" w:left="720"/>
        <w:tabs>
          <w:tab w:val="left" w:pos="720"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525125CE"/>
    <w:multiLevelType w:val="hybridMultilevel"/>
    <w:lvl w:ilvl="0" w:tplc="BE065F6C">
      <w:start w:val="1"/>
      <w:numFmt w:val="decimal"/>
      <w:suff w:val="tab"/>
      <w:lvlText w:val="%1."/>
      <w:lvlJc w:val="left"/>
      <w:pPr>
        <w:ind w:hanging="360" w:left="1080"/>
      </w:pPr>
      <w:rPr/>
    </w:lvl>
    <w:lvl w:ilvl="1" w:tplc="04090019">
      <w:start w:val="1"/>
      <w:numFmt w:val="lowerLetter"/>
      <w:suff w:val="tab"/>
      <w:lvlText w:val="%2."/>
      <w:lvlJc w:val="left"/>
      <w:pPr>
        <w:ind w:hanging="360" w:left="1800"/>
      </w:pPr>
      <w:rPr/>
    </w:lvl>
    <w:lvl w:ilvl="2" w:tplc="0409001B">
      <w:start w:val="1"/>
      <w:numFmt w:val="lowerRoman"/>
      <w:suff w:val="tab"/>
      <w:lvlText w:val="%3."/>
      <w:lvlJc w:val="right"/>
      <w:pPr>
        <w:ind w:hanging="180" w:left="2520"/>
      </w:pPr>
      <w:rPr/>
    </w:lvl>
    <w:lvl w:ilvl="3" w:tplc="0409000F">
      <w:start w:val="1"/>
      <w:numFmt w:val="decimal"/>
      <w:suff w:val="tab"/>
      <w:lvlText w:val="%4."/>
      <w:lvlJc w:val="left"/>
      <w:pPr>
        <w:ind w:hanging="360" w:left="3240"/>
      </w:pPr>
      <w:rPr/>
    </w:lvl>
    <w:lvl w:ilvl="4" w:tplc="04090019">
      <w:start w:val="1"/>
      <w:numFmt w:val="lowerLetter"/>
      <w:suff w:val="tab"/>
      <w:lvlText w:val="%5."/>
      <w:lvlJc w:val="left"/>
      <w:pPr>
        <w:ind w:hanging="360" w:left="3960"/>
      </w:pPr>
      <w:rPr/>
    </w:lvl>
    <w:lvl w:ilvl="5" w:tplc="0409001B">
      <w:start w:val="1"/>
      <w:numFmt w:val="lowerRoman"/>
      <w:suff w:val="tab"/>
      <w:lvlText w:val="%6."/>
      <w:lvlJc w:val="right"/>
      <w:pPr>
        <w:ind w:hanging="180" w:left="4680"/>
      </w:pPr>
      <w:rPr/>
    </w:lvl>
    <w:lvl w:ilvl="6" w:tplc="0409000F">
      <w:start w:val="1"/>
      <w:numFmt w:val="decimal"/>
      <w:suff w:val="tab"/>
      <w:lvlText w:val="%7."/>
      <w:lvlJc w:val="left"/>
      <w:pPr>
        <w:ind w:hanging="360" w:left="5400"/>
      </w:pPr>
      <w:rPr/>
    </w:lvl>
    <w:lvl w:ilvl="7" w:tplc="04090019">
      <w:start w:val="1"/>
      <w:numFmt w:val="lowerLetter"/>
      <w:suff w:val="tab"/>
      <w:lvlText w:val="%8."/>
      <w:lvlJc w:val="left"/>
      <w:pPr>
        <w:ind w:hanging="360" w:left="6120"/>
      </w:pPr>
      <w:rPr/>
    </w:lvl>
    <w:lvl w:ilvl="8" w:tplc="0409001B">
      <w:start w:val="1"/>
      <w:numFmt w:val="lowerRoman"/>
      <w:suff w:val="tab"/>
      <w:lvlText w:val="%9."/>
      <w:lvlJc w:val="right"/>
      <w:pPr>
        <w:ind w:hanging="180" w:left="6840"/>
      </w:pPr>
      <w:rPr/>
    </w:lvl>
  </w:abstractNum>
  <w:abstractNum w:abstractNumId="10">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1">
    <w:nsid w:val="6F4A41FC"/>
    <w:multiLevelType w:val="multilevel"/>
    <w:lvl w:ilvl="0">
      <w:start w:val="1"/>
      <w:numFmt w:val="decimal"/>
      <w:suff w:val="tab"/>
      <w:lvlText w:val="%1"/>
      <w:legacy w:legacy="1" w:legacyIndent="0" w:legacySpace="0"/>
      <w:lvlJc w:val="left"/>
      <w:pPr/>
      <w:rPr/>
    </w:lvl>
    <w:lvl w:ilvl="1">
      <w:start w:val="1"/>
      <w:numFmt w:val="decimal"/>
      <w:suff w:val="tab"/>
      <w:lvlText w:val=".%2"/>
      <w:legacy w:legacy="1" w:legacyIndent="0" w:legacySpace="0"/>
      <w:lvlJc w:val="left"/>
      <w:pPr/>
      <w:rPr/>
    </w:lvl>
    <w:lvl w:ilvl="2">
      <w:start w:val="1"/>
      <w:numFmt w:val="decimal"/>
      <w:suff w:val="tab"/>
      <w:lvlText w:val=".%3"/>
      <w:legacy w:legacy="1" w:legacyIndent="0" w:legacySpace="0"/>
      <w:lvlJc w:val="left"/>
      <w:pPr/>
      <w:rPr/>
    </w:lvl>
    <w:lvl w:ilvl="3">
      <w:start w:val="1"/>
      <w:numFmt w:val="decimal"/>
      <w:suff w:val="tab"/>
      <w:lvlText w:val=".%4"/>
      <w:legacy w:legacy="1" w:legacyIndent="0" w:legacySpace="0"/>
      <w:lvlJc w:val="left"/>
      <w:pPr/>
      <w:rPr/>
    </w:lvl>
    <w:lvl w:ilvl="4">
      <w:start w:val="1"/>
      <w:numFmt w:val="decimal"/>
      <w:suff w:val="tab"/>
      <w:lvlText w:val=".%5"/>
      <w:legacy w:legacy="1" w:legacyIndent="0" w:legacySpace="0"/>
      <w:lvlJc w:val="left"/>
      <w:pPr/>
      <w:rPr/>
    </w:lvl>
    <w:lvl w:ilvl="5">
      <w:start w:val="1"/>
      <w:numFmt w:val="decimal"/>
      <w:suff w:val="tab"/>
      <w:lvlText w:val=".%6"/>
      <w:legacy w:legacy="1" w:legacyIndent="0" w:legacySpace="0"/>
      <w:lvlJc w:val="left"/>
      <w:pPr/>
      <w:rPr/>
    </w:lvl>
    <w:lvl w:ilvl="6">
      <w:start w:val="1"/>
      <w:numFmt w:val="decimal"/>
      <w:suff w:val="tab"/>
      <w:lvlText w:val=".%7"/>
      <w:legacy w:legacy="1" w:legacyIndent="0" w:legacySpace="0"/>
      <w:lvlJc w:val="left"/>
      <w:pPr/>
      <w:rPr/>
    </w:lvl>
    <w:lvl w:ilvl="7">
      <w:start w:val="1"/>
      <w:numFmt w:val="decimal"/>
      <w:suff w:val="tab"/>
      <w:lvlText w:val=".%8"/>
      <w:legacy w:legacy="1" w:legacyIndent="0" w:legacySpace="0"/>
      <w:lvlJc w:val="left"/>
      <w:pPr/>
      <w:rPr/>
    </w:lvl>
    <w:lvl w:ilvl="8">
      <w:start w:val="1"/>
      <w:numFmt w:val="none"/>
      <w:suff w:val="tab"/>
      <w:lvlText w:val=""/>
      <w:legacy w:legacy="1" w:legacyIndent="0" w:legacySpace="0"/>
      <w:lvlJc w:val="left"/>
      <w:pPr/>
      <w:rPr/>
    </w:lvl>
  </w:abstractNum>
  <w:abstractNum w:abstractNumId="12">
    <w:nsid w:val="78D01F5F"/>
    <w:multiLevelType w:val="hybridMultilevel"/>
    <w:lvl w:ilvl="0" w:tplc="04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04090005">
      <w:start w:val="1"/>
      <w:numFmt w:val="bullet"/>
      <w:suff w:val="tab"/>
      <w:lvlText w:val=""/>
      <w:lvlJc w:val="left"/>
      <w:pPr>
        <w:ind w:hanging="360" w:left="2160"/>
        <w:tabs>
          <w:tab w:val="left" w:pos="2160" w:leader="none"/>
        </w:tabs>
      </w:pPr>
      <w:rPr>
        <w:rFonts w:ascii="Wingdings" w:hAnsi="Wingdings"/>
      </w:rPr>
    </w:lvl>
    <w:lvl w:ilvl="3" w:tplc="04090001">
      <w:start w:val="1"/>
      <w:numFmt w:val="bullet"/>
      <w:suff w:val="tab"/>
      <w:lvlText w:val=""/>
      <w:lvlJc w:val="left"/>
      <w:pPr>
        <w:ind w:hanging="360" w:left="2880"/>
        <w:tabs>
          <w:tab w:val="left" w:pos="2880" w:leader="none"/>
        </w:tabs>
      </w:pPr>
      <w:rPr>
        <w:rFonts w:ascii="Symbol" w:hAnsi="Symbol"/>
      </w:rPr>
    </w:lvl>
    <w:lvl w:ilvl="4" w:tplc="04090003">
      <w:start w:val="1"/>
      <w:numFmt w:val="bullet"/>
      <w:suff w:val="tab"/>
      <w:lvlText w:val="o"/>
      <w:lvlJc w:val="left"/>
      <w:pPr>
        <w:ind w:hanging="360" w:left="3600"/>
        <w:tabs>
          <w:tab w:val="left" w:pos="3600" w:leader="none"/>
        </w:tabs>
      </w:pPr>
      <w:rPr>
        <w:rFonts w:ascii="Courier New" w:hAnsi="Courier New"/>
      </w:rPr>
    </w:lvl>
    <w:lvl w:ilvl="5" w:tplc="04090005">
      <w:start w:val="1"/>
      <w:numFmt w:val="bullet"/>
      <w:suff w:val="tab"/>
      <w:lvlText w:val=""/>
      <w:lvlJc w:val="left"/>
      <w:pPr>
        <w:ind w:hanging="360" w:left="4320"/>
        <w:tabs>
          <w:tab w:val="left" w:pos="4320" w:leader="none"/>
        </w:tabs>
      </w:pPr>
      <w:rPr>
        <w:rFonts w:ascii="Wingdings" w:hAnsi="Wingdings"/>
      </w:rPr>
    </w:lvl>
    <w:lvl w:ilvl="6" w:tplc="04090001">
      <w:start w:val="1"/>
      <w:numFmt w:val="bullet"/>
      <w:suff w:val="tab"/>
      <w:lvlText w:val=""/>
      <w:lvlJc w:val="left"/>
      <w:pPr>
        <w:ind w:hanging="360" w:left="5040"/>
        <w:tabs>
          <w:tab w:val="left" w:pos="5040" w:leader="none"/>
        </w:tabs>
      </w:pPr>
      <w:rPr>
        <w:rFonts w:ascii="Symbol" w:hAnsi="Symbol"/>
      </w:rPr>
    </w:lvl>
    <w:lvl w:ilvl="7" w:tplc="04090003">
      <w:start w:val="1"/>
      <w:numFmt w:val="bullet"/>
      <w:suff w:val="tab"/>
      <w:lvlText w:val="o"/>
      <w:lvlJc w:val="left"/>
      <w:pPr>
        <w:ind w:hanging="360" w:left="5760"/>
        <w:tabs>
          <w:tab w:val="left" w:pos="5760" w:leader="none"/>
        </w:tabs>
      </w:pPr>
      <w:rPr>
        <w:rFonts w:ascii="Courier New" w:hAnsi="Courier New"/>
      </w:rPr>
    </w:lvl>
    <w:lvl w:ilvl="8" w:tplc="04090005">
      <w:start w:val="1"/>
      <w:numFmt w:val="bullet"/>
      <w:suff w:val="tab"/>
      <w:lvlText w:val=""/>
      <w:lvlJc w:val="left"/>
      <w:pPr>
        <w:ind w:hanging="360" w:left="6480"/>
        <w:tabs>
          <w:tab w:val="left" w:pos="6480" w:leader="none"/>
        </w:tabs>
      </w:pPr>
      <w:rPr>
        <w:rFonts w:ascii="Wingdings" w:hAnsi="Wingdings"/>
      </w:rPr>
    </w:lvl>
  </w:abstractNum>
  <w:abstractNum w:abstractNumId="13">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8"/>
  </w:num>
  <w:num w:numId="4">
    <w:abstractNumId w:val="3"/>
  </w:num>
  <w:num w:numId="5">
    <w:abstractNumId w:val="10"/>
  </w:num>
  <w:num w:numId="6">
    <w:abstractNumId w:val="2"/>
  </w:num>
  <w:num w:numId="7">
    <w:abstractNumId w:val="6"/>
  </w:num>
  <w:num w:numId="8">
    <w:abstractNumId w:val="1"/>
  </w:num>
  <w:num w:numId="9">
    <w:abstractNumId w:val="13"/>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12"/>
  </w:num>
  <w:num w:numId="30">
    <w:abstractNumId w:val="9"/>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z w:val="22"/>
    </w:rPr>
  </w:style>
  <w:style w:type="paragraph" w:styleId="P1">
    <w:name w:val="heading 1"/>
    <w:basedOn w:val="P50"/>
    <w:qFormat/>
    <w:pPr>
      <w:numPr>
        <w:numId w:val="39"/>
      </w:numPr>
      <w:spacing w:before="160" w:beforeAutospacing="0" w:afterAutospacing="0"/>
      <w:outlineLvl w:val="0"/>
    </w:pPr>
    <w:rPr>
      <w:caps w:val="1"/>
    </w:rPr>
  </w:style>
  <w:style w:type="paragraph" w:styleId="P2">
    <w:name w:val="heading 2"/>
    <w:basedOn w:val="P50"/>
    <w:next w:val="P0"/>
    <w:qFormat/>
    <w:pPr>
      <w:numPr>
        <w:ilvl w:val="1"/>
        <w:numId w:val="39"/>
      </w:numPr>
      <w:spacing w:before="80" w:beforeAutospacing="0" w:afterAutospacing="0"/>
      <w:outlineLvl w:val="1"/>
    </w:pPr>
    <w:rPr>
      <w:u w:val="single"/>
    </w:rPr>
  </w:style>
  <w:style w:type="paragraph" w:styleId="P3">
    <w:name w:val="heading 3"/>
    <w:basedOn w:val="P50"/>
    <w:link w:val="C7"/>
    <w:qFormat/>
    <w:pPr>
      <w:numPr>
        <w:ilvl w:val="2"/>
        <w:numId w:val="39"/>
      </w:numPr>
      <w:outlineLvl w:val="2"/>
    </w:pPr>
    <w:rPr/>
  </w:style>
  <w:style w:type="paragraph" w:styleId="P4">
    <w:name w:val="heading 4"/>
    <w:basedOn w:val="P50"/>
    <w:link w:val="C9"/>
    <w:qFormat/>
    <w:pPr>
      <w:numPr>
        <w:ilvl w:val="3"/>
        <w:numId w:val="39"/>
      </w:numPr>
      <w:outlineLvl w:val="3"/>
    </w:pPr>
    <w:rPr/>
  </w:style>
  <w:style w:type="paragraph" w:styleId="P5">
    <w:name w:val="heading 5"/>
    <w:basedOn w:val="P4"/>
    <w:link w:val="C10"/>
    <w:qFormat/>
    <w:pPr>
      <w:numPr>
        <w:ilvl w:val="4"/>
      </w:numPr>
      <w:outlineLvl w:val="4"/>
    </w:pPr>
    <w:rPr/>
  </w:style>
  <w:style w:type="paragraph" w:styleId="P6">
    <w:name w:val="heading 6"/>
    <w:basedOn w:val="P5"/>
    <w:next w:val="P0"/>
    <w:link w:val="C11"/>
    <w:qFormat/>
    <w:pPr>
      <w:numPr>
        <w:ilvl w:val="5"/>
      </w:numPr>
      <w:outlineLvl w:val="5"/>
    </w:pPr>
    <w:rPr/>
  </w:style>
  <w:style w:type="paragraph" w:styleId="P7">
    <w:name w:val="heading 7"/>
    <w:basedOn w:val="P50"/>
    <w:next w:val="P0"/>
    <w:link w:val="C12"/>
    <w:qFormat/>
    <w:pPr>
      <w:numPr>
        <w:ilvl w:val="6"/>
        <w:numId w:val="39"/>
      </w:numPr>
      <w:outlineLvl w:val="6"/>
    </w:pPr>
    <w:rPr>
      <w:sz w:val="20"/>
    </w:rPr>
  </w:style>
  <w:style w:type="paragraph" w:styleId="P8">
    <w:name w:val="heading 8"/>
    <w:basedOn w:val="P7"/>
    <w:next w:val="P0"/>
    <w:link w:val="C13"/>
    <w:qFormat/>
    <w:pPr>
      <w:numPr>
        <w:ilvl w:val="7"/>
      </w:numPr>
      <w:outlineLvl w:val="7"/>
    </w:pPr>
    <w:rPr/>
  </w:style>
  <w:style w:type="paragraph" w:styleId="P9">
    <w:name w:val="heading 9"/>
    <w:basedOn w:val="P8"/>
    <w:next w:val="P0"/>
    <w:link w:val="C14"/>
    <w:qFormat/>
    <w:pPr>
      <w:numPr>
        <w:ilvl w:val="8"/>
        <w:numId w:val="27"/>
      </w:numPr>
      <w:outlineLvl w:val="8"/>
    </w:pPr>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link w:val="C8"/>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0"/>
    <w:link w:val="C15"/>
    <w:qFormat/>
    <w:pPr>
      <w:keepNext w:val="1"/>
      <w:spacing w:before="160" w:after="30" w:beforeAutospacing="0" w:afterAutospacing="0"/>
    </w:pPr>
    <w:rPr>
      <w:rFonts w:ascii="Arial Narrow" w:hAnsi="Arial Narrow"/>
      <w:b w:val="1"/>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pPr/>
    <w:rPr>
      <w:rFonts w:ascii="Tahoma" w:hAnsi="Tahoma"/>
      <w:sz w:val="16"/>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spacing w:before="0" w:beforeAutospacing="0" w:afterAutospacing="0"/>
    </w:pPr>
    <w:rPr>
      <w:rFonts w:ascii="Book Antiqua" w:hAnsi="Book Antiqua"/>
      <w:b w:val="1"/>
      <w:sz w:val="20"/>
    </w:rPr>
  </w:style>
  <w:style w:type="paragraph" w:styleId="P49">
    <w:name w:val="Revision"/>
    <w:hidden/>
    <w:semiHidden/>
    <w:pPr/>
    <w:rPr>
      <w:rFonts w:ascii="Book Antiqua" w:hAnsi="Book Antiqua"/>
      <w:sz w:val="22"/>
    </w:rPr>
  </w:style>
  <w:style w:type="paragraph" w:styleId="P50">
    <w:name w:val="List Paragraph"/>
    <w:basedOn w:val="P0"/>
    <w:qFormat/>
    <w:pPr>
      <w:ind w:left="720"/>
      <w:contextualSpacing w:val="1"/>
    </w:pPr>
    <w:rPr/>
  </w:style>
  <w:style w:type="paragraph" w:styleId="P51">
    <w:name w:val="5. Body Text 10/12bk"/>
    <w:basedOn w:val="P0"/>
    <w:pPr>
      <w:widowControl w:val="0"/>
      <w:tabs>
        <w:tab w:val="left" w:pos="720" w:leader="none"/>
        <w:tab w:val="left" w:pos="1440" w:leader="none"/>
        <w:tab w:val="left" w:pos="2160" w:leader="none"/>
        <w:tab w:val="left" w:pos="2880" w:leader="none"/>
        <w:tab w:val="left" w:pos="3600" w:leader="none"/>
        <w:tab w:val="left" w:pos="4320" w:leader="none"/>
      </w:tabs>
      <w:spacing w:lineRule="atLeast" w:line="260" w:beforeAutospacing="0" w:afterAutospacing="0"/>
    </w:pPr>
    <w:rPr>
      <w:rFonts w:ascii="ITCCentury Book" w:hAnsi="ITCCentury Book"/>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style>
  <w:style w:type="character" w:styleId="C8">
    <w:name w:val="Comment Text Char"/>
    <w:link w:val="P12"/>
    <w:semiHidden/>
    <w:rPr>
      <w:rFonts w:ascii="Arial" w:hAnsi="Arial"/>
    </w:rPr>
  </w:style>
  <w:style w:type="character" w:styleId="C9">
    <w:name w:val="Heading 4 Char"/>
    <w:link w:val="P4"/>
    <w:rPr/>
  </w:style>
  <w:style w:type="character" w:styleId="C10">
    <w:name w:val="Heading 5 Char"/>
    <w:link w:val="P5"/>
    <w:rPr/>
  </w:style>
  <w:style w:type="character" w:styleId="C11">
    <w:name w:val="Heading 6 Char"/>
    <w:link w:val="P6"/>
    <w:rPr/>
  </w:style>
  <w:style w:type="character" w:styleId="C12">
    <w:name w:val="Heading 7 Char"/>
    <w:link w:val="P7"/>
    <w:rPr>
      <w:sz w:val="20"/>
    </w:rPr>
  </w:style>
  <w:style w:type="character" w:styleId="C13">
    <w:name w:val="Heading 8 Char"/>
    <w:link w:val="P8"/>
    <w:rPr/>
  </w:style>
  <w:style w:type="character" w:styleId="C14">
    <w:name w:val="Heading 9 Char"/>
    <w:link w:val="P9"/>
    <w:rPr/>
  </w:style>
  <w:style w:type="character" w:styleId="C15">
    <w:name w:val="Title Char"/>
    <w:link w:val="P30"/>
    <w:rPr>
      <w:rFonts w:ascii="Arial Narrow" w:hAnsi="Arial Narrow"/>
      <w:b w:val="1"/>
      <w:sz w:val="20"/>
    </w:rPr>
  </w:style>
  <w:style w:type="character" w:styleId="C16">
    <w:name w:val="Strong"/>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Hdr3" Type="http://schemas.openxmlformats.org/officeDocument/2006/relationships/header" Target="header3.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2016-03-18T14:50:00Z</dcterms:created>
  <cp:lastModifiedBy>Ray</cp:lastModifiedBy>
  <cp:lastPrinted>2015-09-02T14:39:00Z</cp:lastPrinted>
  <dcterms:modified xsi:type="dcterms:W3CDTF">2022-10-04T19:38:50Z</dcterms:modified>
  <cp:revision>5</cp:revision>
  <dc:title>01505_Mobilization_and_Demobilization (Mar 18,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0x01010069F33AF97BEDA443B34B2276A31F1843</vt:lpwstr>
  </property>
  <property fmtid="{D5CDD505-2E9C-101B-9397-08002B2CF9AE}" pid="4" name="_dlc_DocIdItemGuid">
    <vt:lpwstr>dfababab-ef65-46e7-b720-586ecab5cee1</vt:lpwstr>
  </property>
  <property fmtid="{D5CDD505-2E9C-101B-9397-08002B2CF9AE}" pid="5" name="URL">
    <vt:lpwstr/>
  </property>
  <property fmtid="{D5CDD505-2E9C-101B-9397-08002B2CF9AE}" pid="6" name="Order">
    <vt:r8>217000</vt:r8>
  </property>
  <property fmtid="{D5CDD505-2E9C-101B-9397-08002B2CF9AE}" pid="7" name="xd_ProgID">
    <vt:lpwstr/>
  </property>
  <property fmtid="{D5CDD505-2E9C-101B-9397-08002B2CF9AE}" pid="8" name="TemplateUrl">
    <vt:lpwstr/>
  </property>
  <property fmtid="{D5CDD505-2E9C-101B-9397-08002B2CF9AE}" pid="9" name="_CopySource">
    <vt:lpwstr>https://mycloud.york.ca/projects/EnvServProgramDeliveryOffice/Design/Shared Documents/Technical Design Specification Templates/Division 01 - General Requirements/01505 Mobilization and Demobilization.DOCX</vt:lpwstr>
  </property>
  <property fmtid="{D5CDD505-2E9C-101B-9397-08002B2CF9AE}" pid="10" name="_SharedFileIndex">
    <vt:lpwstr/>
  </property>
  <property fmtid="{D5CDD505-2E9C-101B-9397-08002B2CF9AE}" pid="11" name="_SourceUrl">
    <vt:lpwstr/>
  </property>
</Properties>
</file>