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3A7822B5" Type="http://schemas.openxmlformats.org/officeDocument/2006/relationships/officeDocument" Target="word/document.xml"/><Relationship Id="coreR3A7822B5" Type="http://schemas.openxmlformats.org/package/2006/relationships/metadata/core-properties" Target="docProps/core.xml"/><Relationship Id="customR3A7822B5" Type="http://schemas.openxmlformats.org/officeDocument/2006/relationships/custom-properties" Target="docProps/custom.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33"/>
            </w:pPr>
            <w:r>
              <w:t>Version</w:t>
            </w:r>
          </w:p>
        </w:tc>
        <w:tc>
          <w:tcPr>
            <w:tcW w:w="2160" w:type="dxa"/>
            <w:tcBorders>
              <w:top w:val="double" w:sz="6" w:space="0" w:shadow="0" w:frame="0"/>
              <w:left w:val="single" w:sz="6" w:space="0" w:shadow="0" w:frame="0"/>
              <w:bottom w:val="single" w:sz="6" w:space="0" w:shadow="0" w:frame="0"/>
              <w:right w:val="single" w:sz="6" w:space="0" w:shadow="0" w:frame="0"/>
            </w:tcBorders>
          </w:tcPr>
          <w:p>
            <w:pPr>
              <w:pStyle w:val="P33"/>
            </w:pPr>
            <w:r>
              <w:t>Date</w:t>
            </w:r>
          </w:p>
        </w:tc>
        <w:tc>
          <w:tcPr>
            <w:tcW w:w="5683" w:type="dxa"/>
            <w:tcBorders>
              <w:top w:val="double" w:sz="6" w:space="0" w:shadow="0" w:frame="0"/>
              <w:left w:val="single" w:sz="6" w:space="0" w:shadow="0" w:frame="0"/>
              <w:bottom w:val="single" w:sz="6" w:space="0" w:shadow="0" w:frame="0"/>
              <w:right w:val="double" w:sz="6" w:space="0" w:shadow="0" w:frame="0"/>
            </w:tcBorders>
          </w:tcPr>
          <w:p>
            <w:pPr>
              <w:pStyle w:val="P33"/>
            </w:pPr>
            <w: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54"/>
              <w:jc w:val="center"/>
              <w:rPr>
                <w:rFonts w:ascii="Calibri" w:hAnsi="Calibri"/>
                <w:sz w:val="22"/>
              </w:rPr>
            </w:pPr>
            <w:r>
              <w:rPr>
                <w:rFonts w:ascii="Calibri" w:hAnsi="Calibri"/>
                <w:sz w:val="22"/>
              </w:rPr>
              <w:t>1</w:t>
            </w:r>
          </w:p>
        </w:tc>
        <w:tc>
          <w:tcPr>
            <w:tcW w:w="2160" w:type="dxa"/>
            <w:tcBorders>
              <w:top w:val="single" w:sz="6" w:space="0" w:shadow="0" w:frame="0"/>
              <w:left w:val="single" w:sz="6" w:space="0" w:shadow="0" w:frame="0"/>
              <w:bottom w:val="single" w:sz="6" w:space="0" w:shadow="0" w:frame="0"/>
              <w:right w:val="single" w:sz="6" w:space="0" w:shadow="0" w:frame="0"/>
            </w:tcBorders>
          </w:tcPr>
          <w:p>
            <w:pPr>
              <w:pStyle w:val="P54"/>
              <w:rPr>
                <w:rFonts w:ascii="Calibri" w:hAnsi="Calibri"/>
                <w:sz w:val="22"/>
              </w:rPr>
            </w:pPr>
            <w:r>
              <w:rPr>
                <w:rFonts w:ascii="Calibri" w:hAnsi="Calibri"/>
                <w:sz w:val="22"/>
              </w:rPr>
              <w:t>April 12, 2016</w:t>
            </w:r>
          </w:p>
        </w:tc>
        <w:tc>
          <w:tcPr>
            <w:tcW w:w="5683" w:type="dxa"/>
            <w:tcBorders>
              <w:top w:val="single" w:sz="6" w:space="0" w:shadow="0" w:frame="0"/>
              <w:left w:val="single" w:sz="6" w:space="0" w:shadow="0" w:frame="0"/>
              <w:bottom w:val="single" w:sz="6" w:space="0" w:shadow="0" w:frame="0"/>
              <w:right w:val="double" w:sz="6" w:space="0" w:shadow="0" w:frame="0"/>
            </w:tcBorders>
          </w:tcPr>
          <w:p>
            <w:pPr>
              <w:pStyle w:val="P54"/>
              <w:rPr>
                <w:rFonts w:ascii="Calibri" w:hAnsi="Calibri"/>
                <w:sz w:val="22"/>
              </w:rPr>
            </w:pPr>
            <w:r>
              <w:rPr>
                <w:rFonts w:ascii="Calibri" w:hAnsi="Calibri"/>
                <w:sz w:val="22"/>
              </w:rPr>
              <w:t>New Specification (AAM)</w:t>
            </w:r>
          </w:p>
        </w:tc>
      </w:tr>
      <w:tr>
        <w:trPr>
          <w:cantSplit/>
          <w:jc w:val="center"/>
        </w:trPr>
        <w:tc>
          <w:tcPr>
            <w:tcW w:w="1004" w:type="dxa"/>
            <w:tcBorders>
              <w:top w:val="single" w:sz="6" w:space="0" w:shadow="0" w:frame="0"/>
              <w:left w:val="double" w:sz="6" w:space="0" w:shadow="0" w:frame="0"/>
              <w:bottom w:val="double" w:sz="6" w:space="0" w:shadow="0" w:frame="0"/>
              <w:right w:val="single" w:sz="6" w:space="0" w:shadow="0" w:frame="0"/>
            </w:tcBorders>
          </w:tcPr>
          <w:p>
            <w:pPr>
              <w:pStyle w:val="P54"/>
              <w:tabs>
                <w:tab w:val="left" w:pos="735" w:leader="none"/>
              </w:tabs>
              <w:rPr>
                <w:rFonts w:ascii="Calibri" w:hAnsi="Calibri"/>
                <w:sz w:val="22"/>
              </w:rPr>
            </w:pPr>
          </w:p>
        </w:tc>
        <w:tc>
          <w:tcPr>
            <w:tcW w:w="2160" w:type="dxa"/>
            <w:tcBorders>
              <w:top w:val="single" w:sz="6" w:space="0" w:shadow="0" w:frame="0"/>
              <w:left w:val="single" w:sz="6" w:space="0" w:shadow="0" w:frame="0"/>
              <w:bottom w:val="double" w:sz="6" w:space="0" w:shadow="0" w:frame="0"/>
              <w:right w:val="single" w:sz="6" w:space="0" w:shadow="0" w:frame="0"/>
            </w:tcBorders>
          </w:tcPr>
          <w:p>
            <w:pPr>
              <w:pStyle w:val="P54"/>
              <w:rPr>
                <w:rFonts w:ascii="Calibri" w:hAnsi="Calibri"/>
                <w:sz w:val="22"/>
              </w:rPr>
            </w:pPr>
          </w:p>
        </w:tc>
        <w:tc>
          <w:tcPr>
            <w:tcW w:w="5683" w:type="dxa"/>
            <w:tcBorders>
              <w:top w:val="single" w:sz="6" w:space="0" w:shadow="0" w:frame="0"/>
              <w:left w:val="single" w:sz="6" w:space="0" w:shadow="0" w:frame="0"/>
              <w:bottom w:val="double" w:sz="6" w:space="0" w:shadow="0" w:frame="0"/>
              <w:right w:val="double" w:sz="6" w:space="0" w:shadow="0" w:frame="0"/>
            </w:tcBorders>
          </w:tcPr>
          <w:p>
            <w:pPr>
              <w:pStyle w:val="P54"/>
              <w:rPr>
                <w:rFonts w:ascii="Calibri" w:hAnsi="Calibri"/>
                <w:sz w:val="22"/>
                <w:lang w:val="en-CA"/>
              </w:rPr>
            </w:pPr>
          </w:p>
        </w:tc>
      </w:tr>
    </w:tbl>
    <w:p/>
    <w:p/>
    <w:p>
      <w:pPr>
        <w:pStyle w:val="P19"/>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NOTE:</w:t>
      </w:r>
    </w:p>
    <w:p>
      <w:pPr>
        <w:pStyle w:val="P19"/>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This is a CONTROLLED Document. Any documents appearing in paper form are not controlled and should be checked against the on-line file version prior to use.</w:t>
      </w:r>
    </w:p>
    <w:p>
      <w:pPr>
        <w:pStyle w:val="P19"/>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b w:val="1"/>
        </w:rPr>
        <w:t xml:space="preserve">Notice: </w:t>
      </w:r>
      <w:r>
        <w:rPr>
          <w:rFonts w:ascii="Calibri" w:hAnsi="Calibri"/>
        </w:rPr>
        <w:t>This Document hardcopy must be used for reference purpose only.</w:t>
      </w:r>
    </w:p>
    <w:p>
      <w:pPr>
        <w:pStyle w:val="P19"/>
        <w:pBdr>
          <w:top w:val="single" w:sz="4" w:space="1" w:shadow="0" w:frame="0"/>
          <w:left w:val="single" w:sz="4" w:space="0" w:shadow="0" w:frame="0"/>
          <w:bottom w:val="single" w:sz="4" w:space="1" w:shadow="0" w:frame="0"/>
          <w:right w:val="single" w:sz="4" w:space="4" w:shadow="0" w:frame="0"/>
        </w:pBdr>
        <w:rPr>
          <w:rFonts w:ascii="Calibri" w:hAnsi="Calibri"/>
          <w:b w:val="1"/>
        </w:rPr>
      </w:pPr>
      <w:r>
        <w:rPr>
          <w:rFonts w:ascii="Calibri" w:hAnsi="Calibri"/>
          <w:b w:val="1"/>
        </w:rPr>
        <w:t>The on-line copy is the current version of the document.</w:t>
      </w:r>
    </w:p>
    <w:p>
      <w:r>
        <w:br w:type="page"/>
      </w:r>
    </w:p>
    <w:p>
      <w:pPr>
        <w:pStyle w:val="P1"/>
      </w:pPr>
      <w:r>
        <w:t>GENERAL</w:t>
      </w:r>
    </w:p>
    <w:p>
      <w:pPr>
        <w:pStyle w:val="P2"/>
      </w:pPr>
      <w:r>
        <w:t>Related Sections</w:t>
      </w:r>
    </w:p>
    <w:p>
      <w:pPr>
        <w:pStyle w:val="P3"/>
        <w:numPr>
          <w:ilvl w:val="2"/>
          <w:numId w:val="0"/>
        </w:numPr>
        <w:ind w:firstLine="0" w:left="698"/>
        <w:rPr>
          <w:highlight w:val="yellow"/>
        </w:rPr>
      </w:pPr>
      <w:r>
        <w:rPr>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Contractor is responsible for coordination of the Work.</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[List Sections specifying related requirements.]</w:t>
      </w:r>
    </w:p>
    <w:p>
      <w:pPr>
        <w:pStyle w:val="P3"/>
        <w:rPr>
          <w:highlight w:val="yellow"/>
        </w:rPr>
      </w:pPr>
      <w:r>
        <w:rPr>
          <w:highlight w:val="yellow"/>
        </w:rPr>
        <w:t xml:space="preserve">Section [______ – ____________]:  [Optional short phrase indicating relationship].</w:t>
      </w:r>
    </w:p>
    <w:p>
      <w:pPr>
        <w:pStyle w:val="P4"/>
        <w:numPr>
          <w:ilvl w:val="3"/>
          <w:numId w:val="32"/>
        </w:numPr>
        <w:tabs>
          <w:tab w:val="left" w:pos="1418" w:leader="none"/>
        </w:tabs>
      </w:pPr>
      <w:r>
        <w:t>Section 01300 – Submittals</w:t>
      </w:r>
    </w:p>
    <w:p>
      <w:pPr>
        <w:pStyle w:val="P4"/>
        <w:numPr>
          <w:ilvl w:val="3"/>
          <w:numId w:val="32"/>
        </w:numPr>
        <w:tabs>
          <w:tab w:val="left" w:pos="1418" w:leader="none"/>
        </w:tabs>
      </w:pPr>
      <w:r>
        <w:t>Section 05120 – Structural Steel</w:t>
      </w:r>
    </w:p>
    <w:p>
      <w:pPr>
        <w:pStyle w:val="P4"/>
      </w:pPr>
      <w:r>
        <w:t xml:space="preserve">Section 05500 – Metal Fabrications – General. </w:t>
      </w:r>
    </w:p>
    <w:p>
      <w:pPr>
        <w:pStyle w:val="P4"/>
      </w:pPr>
      <w:r>
        <w:t>Section 05501 – Metal Fabrications – Architectural</w:t>
      </w:r>
    </w:p>
    <w:p>
      <w:pPr>
        <w:pStyle w:val="P4"/>
      </w:pPr>
      <w:r>
        <w:t xml:space="preserve">Section 05502 – Metal Fabrications – Structural. </w:t>
      </w:r>
    </w:p>
    <w:p>
      <w:pPr>
        <w:pStyle w:val="P4"/>
      </w:pPr>
      <w:r>
        <w:t>Section 05503 – Metal Fabrications – Mechanical</w:t>
      </w:r>
    </w:p>
    <w:p>
      <w:pPr>
        <w:pStyle w:val="P4"/>
      </w:pPr>
      <w:r>
        <w:t>Section 05510 – Metal Stairs</w:t>
      </w:r>
    </w:p>
    <w:p>
      <w:pPr>
        <w:pStyle w:val="P4"/>
      </w:pPr>
      <w:r>
        <w:t xml:space="preserve">Section 05512 – Aluminum Handrails </w:t>
      </w:r>
    </w:p>
    <w:p>
      <w:pPr>
        <w:pStyle w:val="P2"/>
      </w:pPr>
      <w:r>
        <w:t>References</w:t>
      </w:r>
    </w:p>
    <w:p>
      <w:pPr>
        <w:pStyle w:val="P3"/>
      </w:pPr>
      <w:r>
        <w:t>The "Code of Standard Practice for Structural Steel for Buildings, 7</w:t>
      </w:r>
      <w:r>
        <w:rPr>
          <w:vertAlign w:val="superscript"/>
        </w:rPr>
        <w:t>th</w:t>
      </w:r>
      <w:r>
        <w:t xml:space="preserve"> Edition, 2009" of the CISC shall govern this work except as otherwise noted on drawings or in specifications.</w:t>
      </w:r>
    </w:p>
    <w:p>
      <w:pPr>
        <w:pStyle w:val="P3"/>
      </w:pPr>
      <w:r>
        <w:t>The following is a list of standards which may be referenced in this Section:</w:t>
      </w:r>
    </w:p>
    <w:p>
      <w:pPr>
        <w:pStyle w:val="P4"/>
      </w:pPr>
      <w:r>
        <w:t>Canadian Standard Association (CSA):</w:t>
      </w:r>
    </w:p>
    <w:p>
      <w:pPr>
        <w:pStyle w:val="P5"/>
      </w:pPr>
      <w:r>
        <w:t>CAN/CSA W117.2-12, Safety in Welding, Cutting, Allied Processes.</w:t>
      </w:r>
    </w:p>
    <w:p>
      <w:pPr>
        <w:pStyle w:val="P5"/>
      </w:pPr>
      <w:r>
        <w:t>CAN/CSA W178.2-14, Certification of Welding Inspectors</w:t>
      </w:r>
    </w:p>
    <w:p>
      <w:pPr>
        <w:pStyle w:val="P5"/>
      </w:pPr>
      <w:r>
        <w:t>CAN/CSA W186-M1990 (R2012), Welding of Reinforcing Bars in Reinforced Concrete Construction.</w:t>
      </w:r>
    </w:p>
    <w:p>
      <w:pPr>
        <w:pStyle w:val="P5"/>
      </w:pPr>
      <w:r>
        <w:t xml:space="preserve">CAN/CSA W47.1-09 (R2014) Certification of Companies for Fusion Welding of Steel </w:t>
      </w:r>
    </w:p>
    <w:p>
      <w:pPr>
        <w:pStyle w:val="P5"/>
      </w:pPr>
      <w:r>
        <w:t>CAN/CSA W47.2-11 (R2015), Certification of Companies for Fusion Welding of Aluminum</w:t>
      </w:r>
    </w:p>
    <w:p>
      <w:pPr>
        <w:pStyle w:val="P5"/>
      </w:pPr>
      <w:r>
        <w:t xml:space="preserve">CAN/CSA W48-14 Filler Metals and Allied Materials for Metal Arc Welding </w:t>
      </w:r>
    </w:p>
    <w:p>
      <w:pPr>
        <w:pStyle w:val="P5"/>
      </w:pPr>
      <w:r>
        <w:t>CAN/CSA W55.3-08 (R2013), Certification of Companies for Resistance Welding of Steel and Aluminum</w:t>
      </w:r>
    </w:p>
    <w:p>
      <w:pPr>
        <w:pStyle w:val="P5"/>
      </w:pPr>
      <w:r>
        <w:t>CAN/CSA W59.2-M1991 (R2103), Welded Aluminum Construction.</w:t>
      </w:r>
    </w:p>
    <w:p>
      <w:pPr>
        <w:pStyle w:val="P5"/>
      </w:pPr>
      <w:r>
        <w:t>CAN/CSA W59-13 Welded Steel Construction (Metal Arc Welding).</w:t>
      </w:r>
    </w:p>
    <w:p>
      <w:pPr>
        <w:pStyle w:val="P5"/>
      </w:pPr>
      <w:r>
        <w:t>CAN/CSA G30.18-09 (R2014), Carbon Steel Bars for Concrete Reinforcement.</w:t>
      </w:r>
    </w:p>
    <w:p>
      <w:pPr>
        <w:pStyle w:val="P4"/>
      </w:pPr>
      <w:r>
        <w:t>ASTM International (ASTM):</w:t>
      </w:r>
    </w:p>
    <w:p>
      <w:pPr>
        <w:pStyle w:val="P5"/>
      </w:pPr>
      <w:r>
        <w:t>ASTM A370-15, Standard Test Methods and Definitions for Mechanical Testing of Steel Products.</w:t>
      </w:r>
    </w:p>
    <w:p>
      <w:pPr>
        <w:pStyle w:val="P5"/>
      </w:pPr>
      <w:r>
        <w:t>ASTM E10-15a, Standard Test Method for Brinell Hardness of Metallic Materials.</w:t>
      </w:r>
    </w:p>
    <w:p>
      <w:pPr>
        <w:pStyle w:val="P5"/>
      </w:pPr>
      <w:r>
        <w:t>ASTM E23-12c, Standard Test Methods for Notched Bar Impact Testing of Metallic Materials.</w:t>
      </w:r>
    </w:p>
    <w:p>
      <w:pPr>
        <w:pStyle w:val="P4"/>
      </w:pPr>
      <w:r>
        <w:t xml:space="preserve">American Welding Society (AWS): </w:t>
      </w:r>
    </w:p>
    <w:p>
      <w:pPr>
        <w:pStyle w:val="P5"/>
      </w:pPr>
      <w:r>
        <w:t>AWS D1.1/D1.1M:2015, Structural Welding Code - Steel.</w:t>
      </w:r>
    </w:p>
    <w:p>
      <w:pPr>
        <w:pStyle w:val="P5"/>
      </w:pPr>
      <w:r>
        <w:t xml:space="preserve">AWS A2.4:2012 Standard Symbols for Welding, Brazing and  Nondestructive Examination</w:t>
      </w:r>
    </w:p>
    <w:p>
      <w:pPr>
        <w:pStyle w:val="P4"/>
      </w:pPr>
      <w:r>
        <w:t xml:space="preserve">Canadian General Standards Board (CGSB): </w:t>
      </w:r>
    </w:p>
    <w:p>
      <w:pPr>
        <w:pStyle w:val="P5"/>
      </w:pPr>
      <w:r>
        <w:t>CAN/CGSB 48.9712-2014/ISO 9712:2012, IDT, Non-Destructive Testing – Qualification and Certification of NDT Personnel.</w:t>
      </w:r>
    </w:p>
    <w:p>
      <w:pPr>
        <w:pStyle w:val="P4"/>
      </w:pPr>
      <w:r>
        <w:t>American Society of Mechanical Engineers (ASME):</w:t>
      </w:r>
    </w:p>
    <w:p>
      <w:pPr>
        <w:pStyle w:val="P5"/>
      </w:pPr>
      <w:r>
        <w:t>ASME BPVC-V- 2015 Section V, Nondestructive Examination.</w:t>
      </w:r>
    </w:p>
    <w:p>
      <w:pPr>
        <w:pStyle w:val="P5"/>
      </w:pPr>
      <w:r>
        <w:t>ASME BPVC-IX- 2015 Section IX, Welding, Brazing and Fusing Qualifications</w:t>
      </w:r>
    </w:p>
    <w:p>
      <w:pPr>
        <w:pStyle w:val="P2"/>
      </w:pPr>
      <w:r>
        <w:t>Measurement and Payment</w:t>
      </w:r>
    </w:p>
    <w:p>
      <w:pPr>
        <w:pStyle w:val="P3"/>
      </w:pPr>
      <w:r>
        <w:t>The Vendor shall include all costs for all labour, equipment, and materials within the appropriate unit price items included within the Schedule of Unit Prices. No separate payment shall be made.</w:t>
      </w:r>
    </w:p>
    <w:p>
      <w:pPr>
        <w:pStyle w:val="P2"/>
      </w:pPr>
      <w:r>
        <w:t>Definitions</w:t>
      </w:r>
    </w:p>
    <w:p>
      <w:pPr>
        <w:pStyle w:val="P3"/>
      </w:pPr>
      <w:r>
        <w:t>Class W47.1 welding positions flat (F) horizontal (H); vertical (V) overhead (O).</w:t>
      </w:r>
    </w:p>
    <w:p>
      <w:pPr>
        <w:pStyle w:val="P3"/>
      </w:pPr>
      <w:r>
        <w:t>BPV: Boiler and Pressure Vessel</w:t>
      </w:r>
    </w:p>
    <w:p>
      <w:pPr>
        <w:pStyle w:val="P3"/>
      </w:pPr>
      <w:r>
        <w:t>BPVC: Boiler and Pressure Vessel Code</w:t>
      </w:r>
    </w:p>
    <w:p>
      <w:pPr>
        <w:pStyle w:val="P3"/>
      </w:pPr>
      <w:r>
        <w:t>CJP: Complete Joint Penetration.</w:t>
      </w:r>
    </w:p>
    <w:p>
      <w:pPr>
        <w:pStyle w:val="P3"/>
      </w:pPr>
      <w:r>
        <w:t>CWB: Canadian Welding Bureau.</w:t>
      </w:r>
    </w:p>
    <w:p>
      <w:pPr>
        <w:pStyle w:val="P3"/>
      </w:pPr>
      <w:r>
        <w:t>CWI: Certified Welding Inspector.</w:t>
      </w:r>
    </w:p>
    <w:p>
      <w:pPr>
        <w:pStyle w:val="P3"/>
      </w:pPr>
      <w:r>
        <w:t>GTSM: Gauge to Sound Metal.</w:t>
      </w:r>
    </w:p>
    <w:p>
      <w:pPr>
        <w:pStyle w:val="P3"/>
      </w:pPr>
      <w:r>
        <w:t>MT: Magnetic Particle Testing.</w:t>
      </w:r>
    </w:p>
    <w:p>
      <w:pPr>
        <w:pStyle w:val="P3"/>
      </w:pPr>
      <w:r>
        <w:t>NDE: Nondestructive Examination.</w:t>
      </w:r>
    </w:p>
    <w:p>
      <w:pPr>
        <w:pStyle w:val="P3"/>
      </w:pPr>
      <w:r>
        <w:t>NDT: Nondestructive Testing.</w:t>
      </w:r>
    </w:p>
    <w:p>
      <w:pPr>
        <w:pStyle w:val="P3"/>
      </w:pPr>
      <w:r>
        <w:t>PJP: Partial Joint Penetration.</w:t>
      </w:r>
    </w:p>
    <w:p>
      <w:pPr>
        <w:pStyle w:val="P3"/>
      </w:pPr>
      <w:r>
        <w:t>PQR: Procedure Qualification Record.</w:t>
      </w:r>
    </w:p>
    <w:p>
      <w:pPr>
        <w:pStyle w:val="P3"/>
      </w:pPr>
      <w:r>
        <w:t>PT: Liquid Penetrant Testing.</w:t>
      </w:r>
    </w:p>
    <w:p>
      <w:pPr>
        <w:pStyle w:val="P3"/>
      </w:pPr>
      <w:r>
        <w:t>RT: Radiographic Testing.</w:t>
      </w:r>
    </w:p>
    <w:p>
      <w:pPr>
        <w:pStyle w:val="P3"/>
      </w:pPr>
      <w:r>
        <w:t>UT: Ultrasonic Testing.</w:t>
      </w:r>
    </w:p>
    <w:p>
      <w:pPr>
        <w:pStyle w:val="P3"/>
      </w:pPr>
      <w:r>
        <w:t>VT: Visual Testing.</w:t>
      </w:r>
    </w:p>
    <w:p>
      <w:pPr>
        <w:pStyle w:val="P3"/>
      </w:pPr>
      <w:r>
        <w:t>WPQ: Welding Personnel Performance Qualification.</w:t>
      </w:r>
    </w:p>
    <w:p>
      <w:pPr>
        <w:pStyle w:val="P3"/>
      </w:pPr>
      <w:r>
        <w:t>WPS: Welding Procedure Specification.</w:t>
      </w:r>
    </w:p>
    <w:p>
      <w:pPr>
        <w:pStyle w:val="P3"/>
      </w:pPr>
      <w:r>
        <w:t>WPDS: Welding Procedure Data Sheets.</w:t>
      </w:r>
    </w:p>
    <w:p>
      <w:pPr>
        <w:pStyle w:val="P3"/>
      </w:pPr>
      <w:r>
        <w:t>WQR: Welder Qualification Record.</w:t>
      </w:r>
    </w:p>
    <w:p>
      <w:pPr>
        <w:pStyle w:val="P2"/>
      </w:pPr>
      <w:r>
        <w:t>Submittals</w:t>
      </w:r>
    </w:p>
    <w:p>
      <w:pPr>
        <w:pStyle w:val="P3"/>
      </w:pPr>
      <w:r>
        <w:t>Representative Welding Data on Shop and Field drawings:</w:t>
      </w:r>
    </w:p>
    <w:p>
      <w:pPr>
        <w:pStyle w:val="P4"/>
      </w:pPr>
      <w:r>
        <w:t>Show on a weld map the complete information regarding base metal specification designation, location, type, size, and extent of welds with reference to WPS and NDE numbers in the tail of the welding symbol.</w:t>
      </w:r>
    </w:p>
    <w:p>
      <w:pPr>
        <w:pStyle w:val="P4"/>
      </w:pPr>
      <w:r>
        <w:t>Distinguish between shop and field welds.</w:t>
      </w:r>
    </w:p>
    <w:p>
      <w:pPr>
        <w:pStyle w:val="P4"/>
      </w:pPr>
      <w:r>
        <w:t>Indicate, by welding symbols or sketches, details of welded joints and preparation of base metal. Provide complete joint welding details showing bevels, groove angles, and root openings for welds.</w:t>
      </w:r>
    </w:p>
    <w:p>
      <w:pPr>
        <w:pStyle w:val="P4"/>
      </w:pPr>
      <w:r>
        <w:t>Fillet weld symbols shall show fillet size and length.</w:t>
      </w:r>
    </w:p>
    <w:p>
      <w:pPr>
        <w:pStyle w:val="P4"/>
      </w:pPr>
      <w:r>
        <w:t>Groove weld symbols shall indicate CJP or PJP or GTSM in the tail of the symbol, as applicable.</w:t>
      </w:r>
    </w:p>
    <w:p>
      <w:pPr>
        <w:pStyle w:val="P4"/>
      </w:pPr>
      <w:r>
        <w:t xml:space="preserve">For pipe fittings, provide a joint weld beveling diagram. </w:t>
      </w:r>
    </w:p>
    <w:p>
      <w:pPr>
        <w:pStyle w:val="P4"/>
      </w:pPr>
      <w:r>
        <w:t>Welding and NDE symbols shall be in accordance with AWS A2.4.</w:t>
      </w:r>
    </w:p>
    <w:p>
      <w:pPr>
        <w:pStyle w:val="P4"/>
      </w:pPr>
      <w:r>
        <w:t>Welding terms and definitions shall be in accordance with AWS A3.0.</w:t>
      </w:r>
      <w:bookmarkStart w:id="0" w:name="_GoBack"/>
      <w:bookmarkEnd w:id="0"/>
    </w:p>
    <w:p>
      <w:pPr>
        <w:pStyle w:val="P4"/>
      </w:pPr>
      <w:r>
        <w:t>Submit welding data together with applicable shop drawings as a complete package.</w:t>
      </w:r>
    </w:p>
    <w:p>
      <w:pPr>
        <w:pStyle w:val="P3"/>
      </w:pPr>
      <w:r>
        <w:rPr>
          <w:u w:val="single"/>
        </w:rPr>
        <w:t>Informational Submittals</w:t>
      </w:r>
      <w:r>
        <w:t>:</w:t>
      </w:r>
    </w:p>
    <w:p>
      <w:pPr>
        <w:pStyle w:val="P4"/>
      </w:pPr>
      <w:r>
        <w:t>The following information shall be submitted whenever a request is made. This information shall be readily available for the inspectors employed by the Region’s Independent testing agency.</w:t>
      </w:r>
    </w:p>
    <w:p>
      <w:pPr>
        <w:pStyle w:val="P5"/>
      </w:pPr>
      <w:r>
        <w:t>When CAN/CSA applies, WPS’s and related WPDS’s shall be available for all joints prequalified in accordance with W59. Similar documentation is required for non-prequalified joints accompanied by PQR’s for the non-prequalified joints. All such documentation shall be affixed with the CWB acceptance stamp.</w:t>
      </w:r>
    </w:p>
    <w:p>
      <w:pPr>
        <w:pStyle w:val="P5"/>
      </w:pPr>
      <w:r>
        <w:t>When AWS applies, WPS’s standard formats shall be available for all prequalified and non-prequalified joints. In addition, PQR’s shall be documented for non-prequalified joints.</w:t>
      </w:r>
    </w:p>
    <w:p>
      <w:pPr>
        <w:pStyle w:val="P5"/>
      </w:pPr>
      <w:r>
        <w:t>When the Boiler and Pressure Vessel Code BPVC applies, WPS’s and PQR’s shall be available in accordance with ASME BPVC SECT. IX approved by the authority having jurisdiction.</w:t>
      </w:r>
    </w:p>
    <w:p>
      <w:pPr>
        <w:pStyle w:val="P5"/>
      </w:pPr>
      <w:r>
        <w:t>When CAN/CSA W55.3 applies, documentation of resistance welded joint qualification accepted by the CWB shall be available.</w:t>
      </w:r>
    </w:p>
    <w:p>
      <w:pPr>
        <w:pStyle w:val="P2"/>
      </w:pPr>
      <w:r>
        <w:t>Qualifications</w:t>
      </w:r>
    </w:p>
    <w:p>
      <w:pPr>
        <w:pStyle w:val="P3"/>
      </w:pPr>
      <w:r>
        <w:t>Structural fabricators and erectors shall be certified in accordance with CAN/CSA W47.1 and/or W47.2.</w:t>
      </w:r>
    </w:p>
    <w:p>
      <w:pPr>
        <w:pStyle w:val="P3"/>
      </w:pPr>
      <w:r>
        <w:t>BPVC fabricators shall be qualified in accordance with ASME BPVC Section IX.</w:t>
      </w:r>
    </w:p>
    <w:p>
      <w:pPr>
        <w:pStyle w:val="P3"/>
      </w:pPr>
      <w:r>
        <w:t>Welding personnel shall be qualified in accordance with the following codes: CAN/CSA W47.1 or W47.2; AWS D1.1; D1.2; D1.6; ASME Section IX.</w:t>
      </w:r>
    </w:p>
    <w:p>
      <w:pPr>
        <w:pStyle w:val="P3"/>
      </w:pPr>
      <w:r>
        <w:t>Inspection Agencies shall be qualified in accordance with CAN/CSA W178.2 and individual non-destructive inspection personnel shall be qualified in accordance with the appropriate CAN/CGSB requirements.</w:t>
      </w:r>
    </w:p>
    <w:p>
      <w:pPr>
        <w:pStyle w:val="P2"/>
      </w:pPr>
      <w:r>
        <w:t>Quality Control</w:t>
      </w:r>
    </w:p>
    <w:p>
      <w:pPr>
        <w:pStyle w:val="P3"/>
      </w:pPr>
      <w:r>
        <w:t>Source Quality Control</w:t>
      </w:r>
    </w:p>
    <w:p>
      <w:pPr>
        <w:pStyle w:val="P4"/>
      </w:pPr>
      <w:r>
        <w:t>The Contractor’s CWI shall be present whenever shop welding is to be performed. The inspector shall record a report on the quality of Work regarding compliance or non-compliance with the CSA codes CAN/CSA W59, CAN/CSA W59.2 and/or the Contract Documents. Repairs, corrective action or rejection shall be at the discretion of the Consultant, not the inspector. Visual inspection shall be performed by the inspector on all shop and/or field welds to verify that:</w:t>
      </w:r>
    </w:p>
    <w:p>
      <w:pPr>
        <w:pStyle w:val="P5"/>
      </w:pPr>
      <w:r>
        <w:t>Specified and properly qualified, or prequalified welding procedures are used and that welding is performed in accordance with those procedures.</w:t>
      </w:r>
    </w:p>
    <w:p>
      <w:pPr>
        <w:pStyle w:val="P5"/>
      </w:pPr>
      <w:r>
        <w:t>Only specified base materials and welding consumables are used and that welding consumables are stored and maintained in proper condition for use as specified in the Contract Documents.</w:t>
      </w:r>
    </w:p>
    <w:p>
      <w:pPr>
        <w:pStyle w:val="P5"/>
      </w:pPr>
      <w:r>
        <w:t>Welders, welding operators and tackers are properly qualified and that their qualifications permit them to use the processes specified in the Contract Documents.</w:t>
      </w:r>
    </w:p>
    <w:p>
      <w:pPr>
        <w:pStyle w:val="P5"/>
      </w:pPr>
      <w:r>
        <w:t>Joint preparation and fit-up meet the requirements of the welding procedures and the Drawings, prior to welding.</w:t>
      </w:r>
    </w:p>
    <w:p>
      <w:pPr>
        <w:pStyle w:val="P5"/>
      </w:pPr>
      <w:r>
        <w:t>Preheat and interpass temperatures are in accordance with the Specifications, or at a minimum, Table 503 of CAN/CSA W59.</w:t>
      </w:r>
    </w:p>
    <w:p>
      <w:pPr>
        <w:pStyle w:val="P5"/>
      </w:pPr>
      <w:r>
        <w:t>Size, length, number and location of welds conform to the shop or field drawings (random check only).</w:t>
      </w:r>
    </w:p>
    <w:p>
      <w:pPr>
        <w:pStyle w:val="P3"/>
        <w:rPr>
          <w:u w:val="single"/>
        </w:rPr>
      </w:pPr>
      <w:r>
        <w:rPr>
          <w:u w:val="single"/>
        </w:rPr>
        <w:t>Field Quality Control</w:t>
      </w:r>
    </w:p>
    <w:p>
      <w:pPr>
        <w:pStyle w:val="P4"/>
      </w:pPr>
      <w:r>
        <w:t xml:space="preserve">The Contractor’s CWI shall be present whenever field welding is to be performed. Inspection shall be in accordance with subsection 1.6.1 – Source Quality Control as it applies to field welds. </w:t>
      </w:r>
    </w:p>
    <w:p>
      <w:pPr>
        <w:pStyle w:val="P3"/>
      </w:pPr>
      <w:r>
        <w:t>CWI duties include:</w:t>
      </w:r>
    </w:p>
    <w:p>
      <w:pPr>
        <w:pStyle w:val="P4"/>
      </w:pPr>
      <w:r>
        <w:t>Inspection prior to assembly, during assembly, during welding, and after welding.</w:t>
      </w:r>
    </w:p>
    <w:p>
      <w:pPr>
        <w:pStyle w:val="P4"/>
      </w:pPr>
      <w:r>
        <w:t>Verifying conformance of specified job material and proper storage.</w:t>
      </w:r>
    </w:p>
    <w:p>
      <w:pPr>
        <w:pStyle w:val="P4"/>
      </w:pPr>
      <w:r>
        <w:t>Monitoring conformance of WPS.</w:t>
      </w:r>
    </w:p>
    <w:p>
      <w:pPr>
        <w:pStyle w:val="P4"/>
      </w:pPr>
      <w:r>
        <w:t>Monitoring conformance of WPQ.</w:t>
      </w:r>
    </w:p>
    <w:p>
      <w:pPr>
        <w:pStyle w:val="P4"/>
      </w:pPr>
      <w:r>
        <w:t>Inspecting weld joint fit-up and in-process inspection.</w:t>
      </w:r>
    </w:p>
    <w:p>
      <w:pPr>
        <w:pStyle w:val="P4"/>
      </w:pPr>
      <w:r>
        <w:t>Providing 100 percent visual inspection of all welds.</w:t>
      </w:r>
    </w:p>
    <w:p>
      <w:pPr>
        <w:pStyle w:val="P4"/>
      </w:pPr>
      <w:r>
        <w:t>Supervising nondestructive testing personnel and evaluating test results.</w:t>
      </w:r>
    </w:p>
    <w:p>
      <w:pPr>
        <w:pStyle w:val="P4"/>
      </w:pPr>
      <w:r>
        <w:t>Maintaining records and preparing a report confirming that the results of inspections and testing comply with the requirements of the Contract Documents.</w:t>
      </w:r>
    </w:p>
    <w:p>
      <w:pPr>
        <w:pStyle w:val="P3"/>
      </w:pPr>
      <w:r>
        <w:t>Inspection:</w:t>
      </w:r>
    </w:p>
    <w:p>
      <w:pPr>
        <w:pStyle w:val="P4"/>
      </w:pPr>
      <w:r>
        <w:t>The Region will retain an independent testing agency for checking weld quality as specified in the related Sections listed in subsection 1.1.</w:t>
      </w:r>
    </w:p>
    <w:p>
      <w:pPr>
        <w:pStyle w:val="P2"/>
      </w:pPr>
      <w:r>
        <w:t>Sequencing and Scheduling</w:t>
      </w:r>
    </w:p>
    <w:p>
      <w:pPr>
        <w:pStyle w:val="P3"/>
      </w:pPr>
      <w:r>
        <w:t>Unless otherwise specified the Contract Documents., all submittals required in this Section shall be submitted and approved prior to commencement of welding operations.</w:t>
      </w:r>
    </w:p>
    <w:p>
      <w:pPr>
        <w:pStyle w:val="P1"/>
      </w:pPr>
      <w:r>
        <w:t>PRODUCTS (Not used)</w:t>
      </w:r>
    </w:p>
    <w:p>
      <w:pPr>
        <w:pStyle w:val="P1"/>
      </w:pPr>
      <w:r>
        <w:t>EXECUTION</w:t>
      </w:r>
    </w:p>
    <w:p>
      <w:pPr>
        <w:pStyle w:val="P2"/>
      </w:pPr>
      <w:r>
        <w:t>General</w:t>
      </w:r>
    </w:p>
    <w:p>
      <w:pPr>
        <w:pStyle w:val="P3"/>
      </w:pPr>
      <w:r>
        <w:t>Welding and Fabrication by Welding: Conform to governing welding codes referenced in the attached Welding and Nondestructive Testing Table.</w:t>
      </w:r>
    </w:p>
    <w:p>
      <w:pPr>
        <w:pStyle w:val="P2"/>
      </w:pPr>
      <w:r>
        <w:t>Nondestructive Weld Testing Requirements</w:t>
      </w:r>
    </w:p>
    <w:p>
      <w:pPr>
        <w:pStyle w:val="P3"/>
        <w:spacing w:after="120" w:beforeAutospacing="0" w:afterAutospacing="0"/>
      </w:pPr>
      <w:r>
        <w:t>See below for table</w:t>
      </w:r>
    </w:p>
    <w:tbl>
      <w:tblPr>
        <w:tblW w:w="9180" w:type="dxa"/>
        <w:tblInd w:w="288" w:type="dxa"/>
        <w:tblBorders>
          <w:top w:val="double" w:sz="6" w:space="0" w:shadow="0" w:frame="0"/>
          <w:left w:val="double" w:sz="6" w:space="0" w:shadow="0" w:frame="0"/>
          <w:bottom w:val="double" w:sz="6" w:space="0" w:shadow="0" w:frame="0"/>
          <w:right w:val="double" w:sz="6" w:space="0" w:shadow="0" w:frame="0"/>
          <w:insideH w:val="single" w:sz="6" w:space="0" w:shadow="0" w:frame="0"/>
          <w:insideV w:val="single" w:sz="6" w:space="0" w:shadow="0" w:frame="0"/>
        </w:tblBorders>
        <w:tblLayout w:type="fixed"/>
      </w:tblPr>
      <w:tblGrid/>
      <w:tr>
        <w:trPr>
          <w:cantSplit/>
          <w:tblHeader/>
        </w:trPr>
        <w:tc>
          <w:tcPr>
            <w:tcW w:w="1440" w:type="dxa"/>
            <w:tcBorders>
              <w:top w:val="double" w:sz="4" w:space="0" w:shadow="0" w:frame="0"/>
              <w:left w:val="double" w:sz="4" w:space="0" w:shadow="0" w:frame="0"/>
              <w:bottom w:val="single" w:sz="4" w:space="0" w:shadow="0" w:frame="0"/>
              <w:right w:val="single" w:sz="4" w:space="0" w:shadow="0" w:frame="0"/>
            </w:tcBorders>
          </w:tcPr>
          <w:p>
            <w:pPr>
              <w:pStyle w:val="P33"/>
            </w:pPr>
            <w:r>
              <w:t>Specification Section</w:t>
            </w:r>
          </w:p>
        </w:tc>
        <w:tc>
          <w:tcPr>
            <w:tcW w:w="3600" w:type="dxa"/>
            <w:tcBorders>
              <w:top w:val="double" w:sz="4" w:space="0" w:shadow="0" w:frame="0"/>
              <w:left w:val="single" w:sz="4" w:space="0" w:shadow="0" w:frame="0"/>
              <w:bottom w:val="single" w:sz="4" w:space="0" w:shadow="0" w:frame="0"/>
              <w:right w:val="single" w:sz="4" w:space="0" w:shadow="0" w:frame="0"/>
            </w:tcBorders>
          </w:tcPr>
          <w:p>
            <w:pPr>
              <w:pStyle w:val="P33"/>
            </w:pPr>
            <w:r>
              <w:t>Governing Welding Codes or Standards</w:t>
            </w:r>
          </w:p>
        </w:tc>
        <w:tc>
          <w:tcPr>
            <w:tcW w:w="1530" w:type="dxa"/>
            <w:tcBorders>
              <w:top w:val="double" w:sz="4" w:space="0" w:shadow="0" w:frame="0"/>
              <w:left w:val="single" w:sz="4" w:space="0" w:shadow="0" w:frame="0"/>
              <w:bottom w:val="single" w:sz="4" w:space="0" w:shadow="0" w:frame="0"/>
              <w:right w:val="single" w:sz="4" w:space="0" w:shadow="0" w:frame="0"/>
            </w:tcBorders>
          </w:tcPr>
          <w:p>
            <w:pPr>
              <w:pStyle w:val="P33"/>
            </w:pPr>
            <w:r>
              <w:t>Submit Written NDT Procedure Specifications</w:t>
            </w:r>
          </w:p>
        </w:tc>
        <w:tc>
          <w:tcPr>
            <w:tcW w:w="2610" w:type="dxa"/>
            <w:tcBorders>
              <w:top w:val="double" w:sz="4" w:space="0" w:shadow="0" w:frame="0"/>
              <w:left w:val="single" w:sz="4" w:space="0" w:shadow="0" w:frame="0"/>
              <w:bottom w:val="single" w:sz="4" w:space="0" w:shadow="0" w:frame="0"/>
              <w:right w:val="double" w:sz="4" w:space="0" w:shadow="0" w:frame="0"/>
            </w:tcBorders>
          </w:tcPr>
          <w:p>
            <w:pPr>
              <w:pStyle w:val="P33"/>
            </w:pPr>
            <w:r>
              <w:t>NDT Requirements</w:t>
            </w:r>
          </w:p>
        </w:tc>
      </w:tr>
      <w:tr>
        <w:trPr>
          <w:cantSplit/>
        </w:trPr>
        <w:tc>
          <w:tcPr>
            <w:tcW w:w="1440" w:type="dxa"/>
            <w:tcBorders>
              <w:top w:val="single" w:sz="4" w:space="0" w:shadow="0" w:frame="0"/>
              <w:left w:val="double" w:sz="4" w:space="0" w:shadow="0" w:frame="0"/>
              <w:bottom w:val="single" w:sz="4" w:space="0" w:shadow="0" w:frame="0"/>
              <w:right w:val="single" w:sz="4" w:space="0" w:shadow="0" w:frame="0"/>
            </w:tcBorders>
          </w:tcPr>
          <w:p>
            <w:pPr>
              <w:pStyle w:val="P23"/>
            </w:pPr>
            <w:r>
              <w:t>15200</w:t>
              <w:br w:type="textWrapping"/>
              <w:t>Piping Systems</w:t>
            </w:r>
          </w:p>
        </w:tc>
        <w:tc>
          <w:tcPr>
            <w:tcW w:w="3600" w:type="dxa"/>
            <w:tcBorders>
              <w:top w:val="single" w:sz="4" w:space="0" w:shadow="0" w:frame="0"/>
              <w:left w:val="single" w:sz="4" w:space="0" w:shadow="0" w:frame="0"/>
              <w:bottom w:val="single" w:sz="4" w:space="0" w:shadow="0" w:frame="0"/>
              <w:right w:val="single" w:sz="4" w:space="0" w:shadow="0" w:frame="0"/>
            </w:tcBorders>
          </w:tcPr>
          <w:p>
            <w:pPr>
              <w:pStyle w:val="P23"/>
            </w:pPr>
            <w:r>
              <w:t>See Section 15200 for governing welding codes and standards.</w:t>
            </w:r>
          </w:p>
        </w:tc>
        <w:tc>
          <w:tcPr>
            <w:tcW w:w="1530" w:type="dxa"/>
            <w:tcBorders>
              <w:top w:val="single" w:sz="4" w:space="0" w:shadow="0" w:frame="0"/>
              <w:left w:val="single" w:sz="4" w:space="0" w:shadow="0" w:frame="0"/>
              <w:bottom w:val="single" w:sz="4" w:space="0" w:shadow="0" w:frame="0"/>
              <w:right w:val="single" w:sz="4" w:space="0" w:shadow="0" w:frame="0"/>
            </w:tcBorders>
          </w:tcPr>
          <w:p>
            <w:pPr>
              <w:pStyle w:val="P23"/>
              <w:jc w:val="center"/>
            </w:pPr>
            <w:r>
              <w:t>Yes</w:t>
            </w:r>
          </w:p>
        </w:tc>
        <w:tc>
          <w:tcPr>
            <w:tcW w:w="2610" w:type="dxa"/>
            <w:tcBorders>
              <w:top w:val="single" w:sz="4" w:space="0" w:shadow="0" w:frame="0"/>
              <w:left w:val="single" w:sz="4" w:space="0" w:shadow="0" w:frame="0"/>
              <w:bottom w:val="single" w:sz="4" w:space="0" w:shadow="0" w:frame="0"/>
              <w:right w:val="double" w:sz="4" w:space="0" w:shadow="0" w:frame="0"/>
            </w:tcBorders>
          </w:tcPr>
          <w:p>
            <w:pPr>
              <w:pStyle w:val="P23"/>
            </w:pPr>
            <w:r>
              <w:t>100% VT; See Section 15200 for additional NDT requirements.</w:t>
            </w:r>
          </w:p>
        </w:tc>
      </w:tr>
      <w:tr>
        <w:trPr>
          <w:cantSplit/>
        </w:trPr>
        <w:tc>
          <w:tcPr>
            <w:tcW w:w="1440" w:type="dxa"/>
            <w:tcBorders>
              <w:top w:val="single" w:sz="4" w:space="0" w:shadow="0" w:frame="0"/>
              <w:left w:val="double" w:sz="4" w:space="0" w:shadow="0" w:frame="0"/>
              <w:bottom w:val="single" w:sz="4" w:space="0" w:shadow="0" w:frame="0"/>
              <w:right w:val="single" w:sz="4" w:space="0" w:shadow="0" w:frame="0"/>
            </w:tcBorders>
          </w:tcPr>
          <w:p>
            <w:pPr>
              <w:pStyle w:val="P23"/>
            </w:pPr>
            <w:r>
              <w:t>03210</w:t>
              <w:br w:type="textWrapping"/>
              <w:t>Reinforcing Steel</w:t>
            </w:r>
          </w:p>
        </w:tc>
        <w:tc>
          <w:tcPr>
            <w:tcW w:w="3600" w:type="dxa"/>
            <w:tcBorders>
              <w:top w:val="single" w:sz="4" w:space="0" w:shadow="0" w:frame="0"/>
              <w:left w:val="single" w:sz="4" w:space="0" w:shadow="0" w:frame="0"/>
              <w:bottom w:val="single" w:sz="4" w:space="0" w:shadow="0" w:frame="0"/>
              <w:right w:val="single" w:sz="4" w:space="0" w:shadow="0" w:frame="0"/>
            </w:tcBorders>
          </w:tcPr>
          <w:p>
            <w:pPr>
              <w:pStyle w:val="P23"/>
            </w:pPr>
            <w:r>
              <w:t>CAN/CSA W186, Welding of Reinforced Bar in Reinforced Concrete Construction</w:t>
            </w:r>
          </w:p>
        </w:tc>
        <w:tc>
          <w:tcPr>
            <w:tcW w:w="1530" w:type="dxa"/>
            <w:tcBorders>
              <w:top w:val="single" w:sz="4" w:space="0" w:shadow="0" w:frame="0"/>
              <w:left w:val="single" w:sz="4" w:space="0" w:shadow="0" w:frame="0"/>
              <w:bottom w:val="single" w:sz="4" w:space="0" w:shadow="0" w:frame="0"/>
              <w:right w:val="single" w:sz="4" w:space="0" w:shadow="0" w:frame="0"/>
            </w:tcBorders>
          </w:tcPr>
          <w:p>
            <w:pPr>
              <w:pStyle w:val="P23"/>
              <w:jc w:val="center"/>
            </w:pPr>
            <w:r>
              <w:t>Yes</w:t>
            </w:r>
          </w:p>
        </w:tc>
        <w:tc>
          <w:tcPr>
            <w:tcW w:w="2610" w:type="dxa"/>
            <w:tcBorders>
              <w:top w:val="single" w:sz="4" w:space="0" w:shadow="0" w:frame="0"/>
              <w:left w:val="single" w:sz="4" w:space="0" w:shadow="0" w:frame="0"/>
              <w:bottom w:val="single" w:sz="4" w:space="0" w:shadow="0" w:frame="0"/>
              <w:right w:val="double" w:sz="4" w:space="0" w:shadow="0" w:frame="0"/>
            </w:tcBorders>
          </w:tcPr>
          <w:p>
            <w:pPr>
              <w:pStyle w:val="P23"/>
            </w:pPr>
            <w:r>
              <w:t>100% MT of all rebar splices; see Section 03210</w:t>
            </w:r>
          </w:p>
        </w:tc>
      </w:tr>
      <w:tr>
        <w:trPr>
          <w:cantSplit/>
        </w:trPr>
        <w:tc>
          <w:tcPr>
            <w:tcW w:w="1440" w:type="dxa"/>
            <w:tcBorders>
              <w:top w:val="single" w:sz="4" w:space="0" w:shadow="0" w:frame="0"/>
              <w:left w:val="double" w:sz="4" w:space="0" w:shadow="0" w:frame="0"/>
              <w:bottom w:val="single" w:sz="4" w:space="0" w:shadow="0" w:frame="0"/>
              <w:right w:val="single" w:sz="4" w:space="0" w:shadow="0" w:frame="0"/>
            </w:tcBorders>
          </w:tcPr>
          <w:p>
            <w:pPr>
              <w:pStyle w:val="P23"/>
            </w:pPr>
            <w:r>
              <w:t>05500</w:t>
              <w:br w:type="textWrapping"/>
              <w:t xml:space="preserve">Metal Fabrications (Basic) </w:t>
            </w:r>
          </w:p>
        </w:tc>
        <w:tc>
          <w:tcPr>
            <w:tcW w:w="3600" w:type="dxa"/>
            <w:tcBorders>
              <w:top w:val="single" w:sz="4" w:space="0" w:shadow="0" w:frame="0"/>
              <w:left w:val="single" w:sz="4" w:space="0" w:shadow="0" w:frame="0"/>
              <w:bottom w:val="single" w:sz="4" w:space="0" w:shadow="0" w:frame="0"/>
              <w:right w:val="single" w:sz="4" w:space="0" w:shadow="0" w:frame="0"/>
            </w:tcBorders>
          </w:tcPr>
          <w:p>
            <w:pPr>
              <w:pStyle w:val="P23"/>
            </w:pPr>
            <w:r>
              <w:t>CAN/CSA W59, Welded Steel Construction (Metal Arc Welding)or CAN/CSA W59.2, Welded Aluminum Construction</w:t>
            </w:r>
          </w:p>
        </w:tc>
        <w:tc>
          <w:tcPr>
            <w:tcW w:w="1530" w:type="dxa"/>
            <w:tcBorders>
              <w:top w:val="single" w:sz="4" w:space="0" w:shadow="0" w:frame="0"/>
              <w:left w:val="single" w:sz="4" w:space="0" w:shadow="0" w:frame="0"/>
              <w:bottom w:val="single" w:sz="4" w:space="0" w:shadow="0" w:frame="0"/>
              <w:right w:val="single" w:sz="4" w:space="0" w:shadow="0" w:frame="0"/>
            </w:tcBorders>
          </w:tcPr>
          <w:p>
            <w:pPr>
              <w:pStyle w:val="P23"/>
              <w:jc w:val="center"/>
            </w:pPr>
            <w:r>
              <w:t>Yes</w:t>
            </w:r>
          </w:p>
        </w:tc>
        <w:tc>
          <w:tcPr>
            <w:tcW w:w="2610" w:type="dxa"/>
            <w:tcBorders>
              <w:top w:val="single" w:sz="4" w:space="0" w:shadow="0" w:frame="0"/>
              <w:left w:val="single" w:sz="4" w:space="0" w:shadow="0" w:frame="0"/>
              <w:bottom w:val="single" w:sz="4" w:space="0" w:shadow="0" w:frame="0"/>
              <w:right w:val="double" w:sz="4" w:space="0" w:shadow="0" w:frame="0"/>
            </w:tcBorders>
          </w:tcPr>
          <w:p>
            <w:pPr>
              <w:pStyle w:val="P23"/>
            </w:pPr>
            <w:r>
              <w:t>100% VT; see Section 05500</w:t>
            </w:r>
          </w:p>
        </w:tc>
      </w:tr>
      <w:tr>
        <w:trPr>
          <w:cantSplit/>
        </w:trPr>
        <w:tc>
          <w:tcPr>
            <w:tcW w:w="1440" w:type="dxa"/>
            <w:tcBorders>
              <w:top w:val="single" w:sz="4" w:space="0" w:shadow="0" w:frame="0"/>
              <w:left w:val="double" w:sz="4" w:space="0" w:shadow="0" w:frame="0"/>
              <w:bottom w:val="double" w:sz="4" w:space="0" w:shadow="0" w:frame="0"/>
              <w:right w:val="single" w:sz="4" w:space="0" w:shadow="0" w:frame="0"/>
            </w:tcBorders>
          </w:tcPr>
          <w:p>
            <w:pPr>
              <w:pStyle w:val="P23"/>
            </w:pPr>
            <w:r>
              <w:t>05510</w:t>
              <w:br w:type="textWrapping"/>
              <w:t>Aluminum Guards and Handrails</w:t>
            </w:r>
          </w:p>
        </w:tc>
        <w:tc>
          <w:tcPr>
            <w:tcW w:w="3600" w:type="dxa"/>
            <w:tcBorders>
              <w:top w:val="single" w:sz="4" w:space="0" w:shadow="0" w:frame="0"/>
              <w:left w:val="single" w:sz="4" w:space="0" w:shadow="0" w:frame="0"/>
              <w:bottom w:val="double" w:sz="4" w:space="0" w:shadow="0" w:frame="0"/>
              <w:right w:val="single" w:sz="4" w:space="0" w:shadow="0" w:frame="0"/>
            </w:tcBorders>
          </w:tcPr>
          <w:p>
            <w:pPr>
              <w:pStyle w:val="P23"/>
            </w:pPr>
            <w:r>
              <w:t>CAN/CSA W59.2, Welded Aluminum Construction</w:t>
            </w:r>
          </w:p>
        </w:tc>
        <w:tc>
          <w:tcPr>
            <w:tcW w:w="1530" w:type="dxa"/>
            <w:tcBorders>
              <w:top w:val="single" w:sz="4" w:space="0" w:shadow="0" w:frame="0"/>
              <w:left w:val="single" w:sz="4" w:space="0" w:shadow="0" w:frame="0"/>
              <w:bottom w:val="double" w:sz="4" w:space="0" w:shadow="0" w:frame="0"/>
              <w:right w:val="single" w:sz="4" w:space="0" w:shadow="0" w:frame="0"/>
            </w:tcBorders>
          </w:tcPr>
          <w:p>
            <w:pPr>
              <w:pStyle w:val="P23"/>
              <w:jc w:val="center"/>
            </w:pPr>
            <w:r>
              <w:t>No</w:t>
            </w:r>
          </w:p>
        </w:tc>
        <w:tc>
          <w:tcPr>
            <w:tcW w:w="2610" w:type="dxa"/>
            <w:tcBorders>
              <w:top w:val="single" w:sz="4" w:space="0" w:shadow="0" w:frame="0"/>
              <w:left w:val="single" w:sz="4" w:space="0" w:shadow="0" w:frame="0"/>
              <w:bottom w:val="double" w:sz="4" w:space="0" w:shadow="0" w:frame="0"/>
              <w:right w:val="double" w:sz="4" w:space="0" w:shadow="0" w:frame="0"/>
            </w:tcBorders>
          </w:tcPr>
          <w:p>
            <w:pPr>
              <w:pStyle w:val="P23"/>
            </w:pPr>
            <w:r>
              <w:t>100% VT; see Section 05512</w:t>
            </w:r>
          </w:p>
        </w:tc>
      </w:tr>
    </w:tbl>
    <w:p>
      <w:pPr>
        <w:pStyle w:val="P2"/>
      </w:pPr>
      <w:r>
        <w:t>Weld Defect Repair</w:t>
      </w:r>
    </w:p>
    <w:p>
      <w:pPr>
        <w:pStyle w:val="P3"/>
      </w:pPr>
      <w:r>
        <w:t>Repair and retest rejectable weld defects until sound weld metal has been deposited in accordance with the appropriate welding codes referred to above.</w:t>
      </w:r>
    </w:p>
    <w:p>
      <w:pPr>
        <w:pStyle w:val="P3"/>
      </w:pPr>
      <w:r>
        <w:t>Repair and retest rejectable weld defects to meet the design and/or the Contract Drawings and Specifications. Retesting shall be performed with the same NDT method used for the initial tests and to the same frequency of testing.</w:t>
      </w:r>
    </w:p>
    <w:p>
      <w:pPr>
        <w:pStyle w:val="P3"/>
        <w:numPr>
          <w:ilvl w:val="2"/>
          <w:numId w:val="0"/>
        </w:numPr>
        <w:ind w:firstLine="0" w:left="2160"/>
      </w:pPr>
    </w:p>
    <w:p>
      <w:pPr>
        <w:jc w:val="center"/>
        <w:rPr>
          <w:b w:val="1"/>
        </w:rPr>
      </w:pPr>
      <w:r>
        <w:rPr>
          <w:b w:val="1"/>
        </w:rPr>
        <w:t>END OF SECTION</w:t>
      </w:r>
    </w:p>
    <w:p>
      <w:pPr>
        <w:rPr>
          <w:b w:val="1"/>
        </w:rPr>
      </w:pPr>
    </w:p>
    <w:sectPr>
      <w:headerReference xmlns:r="http://schemas.openxmlformats.org/officeDocument/2006/relationships" w:type="default" r:id="RelHdr1"/>
      <w:headerReference xmlns:r="http://schemas.openxmlformats.org/officeDocument/2006/relationships" w:type="even" r:id="RelHdr2"/>
      <w:footerReference xmlns:r="http://schemas.openxmlformats.org/officeDocument/2006/relationships" w:type="default" r:id="RelFtr1"/>
      <w:type w:val="nextPage"/>
      <w:pgMar w:left="1800" w:right="1440" w:top="1440" w:bottom="1296" w:header="720" w:footer="720" w:gutter="0"/>
      <w:pgNumType w:start="1" w:chapSep="period"/>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tabs>
        <w:tab w:val="clear" w:pos="8640" w:leader="none"/>
      </w:tabs>
      <w:rPr>
        <w:b w:val="1"/>
        <w:lang w:val="en-US"/>
      </w:rPr>
    </w:pP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0"/>
      <w:rPr>
        <w:b w:val="1"/>
        <w:sz w:val="16"/>
      </w:rPr>
    </w:pPr>
  </w:p>
  <w:p>
    <w:pPr>
      <w:pStyle w:val="P20"/>
      <w:tabs>
        <w:tab w:val="clear" w:pos="8640" w:leader="none"/>
        <w:tab w:val="right" w:pos="9000" w:leader="none"/>
      </w:tabs>
      <w:rPr>
        <w:sz w:val="22"/>
      </w:rPr>
    </w:pPr>
    <w:r>
      <w:rPr>
        <w:rFonts w:ascii="Calibri (Body)" w:hAnsi="Calibri (Body)"/>
        <w:sz w:val="22"/>
      </w:rPr>
      <w:t>CONTRACT NO. SSTR4559</w:t>
      <w:tab/>
      <w:tab/>
      <w:t>Section 05050</w:t>
    </w:r>
  </w:p>
  <w:p>
    <w:pPr>
      <w:pStyle w:val="P20"/>
      <w:tabs>
        <w:tab w:val="clear" w:pos="8640" w:leader="none"/>
        <w:tab w:val="right" w:pos="9000" w:leader="none"/>
      </w:tabs>
      <w:rPr>
        <w:b w:val="1"/>
        <w:sz w:val="22"/>
      </w:rPr>
    </w:pPr>
    <w:r>
      <w:rPr>
        <w:rFonts w:ascii="Calibri (Body)" w:hAnsi="Calibri (Body)"/>
        <w:b w:val="1"/>
        <w:sz w:val="22"/>
      </w:rPr>
      <w:tab/>
      <w:t>WELDING</w:t>
      <w:tab/>
    </w:r>
    <w:r>
      <w:rPr>
        <w:rFonts w:ascii="Calibri (Body)" w:hAnsi="Calibri (Body)"/>
        <w:sz w:val="22"/>
      </w:rPr>
      <w:t>2016-04-12</w:t>
    </w:r>
  </w:p>
  <w:p>
    <w:pPr>
      <w:pStyle w:val="P20"/>
      <w:tabs>
        <w:tab w:val="clear" w:pos="8640" w:leader="none"/>
        <w:tab w:val="right" w:pos="9000" w:leader="none"/>
      </w:tabs>
      <w:jc w:val="left"/>
      <w:rPr>
        <w:b w:val="1"/>
        <w:sz w:val="22"/>
      </w:rPr>
    </w:pPr>
    <w:r>
      <w:rPr>
        <w:rFonts w:ascii="Calibri (Body)" w:hAnsi="Calibri (Body)"/>
        <w:sz w:val="22"/>
      </w:rPr>
    </w:r>
    <w:r>
      <w:rPr>
        <w:rFonts w:ascii="Calibri (Body)" w:hAnsi="Calibri (Body)"/>
        <w:sz w:val="22"/>
      </w:rPr>
      <w:t xml:space="preserve">DATE: Oct., 2022		</w:t>
    </w:r>
    <w:r>
      <w:rPr>
        <w:rFonts w:ascii="Calibri (Body)" w:hAnsi="Calibri (Body)"/>
        <w:sz w:val="22"/>
      </w:rPr>
      <w:t xml:space="preserve">Page </w:t>
    </w:r>
    <w:r>
      <w:rPr>
        <w:rFonts w:ascii="Calibri (Body)" w:hAnsi="Calibri (Body)"/>
        <w:sz w:val="22"/>
      </w:rPr>
      <w:fldChar w:fldCharType="begin"/>
      <w:instrText xml:space="preserve">Page</w:instrText>
      <w:fldChar w:fldCharType="end"/>
    </w:r>
  </w:p>
  <w:p>
    <w:pPr>
      <w:pStyle w:val="P20"/>
      <w:tabs>
        <w:tab w:val="clear" w:pos="8640" w:leader="none"/>
        <w:tab w:val="right" w:pos="9000" w:leader="none"/>
      </w:tabs>
      <w:rPr>
        <w:b w:val="1"/>
        <w:sz w:val="22"/>
      </w:rPr>
    </w:pPr>
  </w:p>
  <w:p>
    <w:pPr>
      <w:pStyle w:val="P20"/>
      <w:rPr>
        <w:sz w:val="6"/>
      </w:rPr>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0"/>
    </w:pPr>
  </w:p>
  <w:p>
    <w:pPr>
      <w:pStyle w:val="P20"/>
      <w:rPr>
        <w:sz w:val="22"/>
      </w:rPr>
    </w:pPr>
    <w:r>
      <w:rPr>
        <w:rFonts w:ascii="Calibri (Body)" w:hAnsi="Calibri (Body)"/>
        <w:sz w:val="22"/>
      </w:rPr>
      <w:t>Section 05050</w:t>
      <w:tab/>
      <w:tab/>
      <w:t>CONTRACT NO. SSTR4559</w:t>
    </w:r>
  </w:p>
  <w:p>
    <w:pPr>
      <w:pStyle w:val="P20"/>
      <w:rPr>
        <w:b w:val="1"/>
        <w:sz w:val="22"/>
      </w:rPr>
    </w:pPr>
    <w:r>
      <w:rPr>
        <w:rFonts w:ascii="Calibri (Body)" w:hAnsi="Calibri (Body)"/>
        <w:sz w:val="22"/>
      </w:rPr>
      <w:t>2016-04-12</w:t>
      <w:tab/>
    </w:r>
    <w:r>
      <w:rPr>
        <w:rFonts w:ascii="Calibri (Body)" w:hAnsi="Calibri (Body)"/>
        <w:b w:val="1"/>
        <w:sz w:val="22"/>
      </w:rPr>
      <w:t>WELDING</w:t>
    </w:r>
  </w:p>
  <w:p>
    <w:pPr>
      <w:pStyle w:val="P20"/>
      <w:jc w:val="left"/>
      <w:rPr>
        <w:sz w:val="22"/>
      </w:rPr>
    </w:pPr>
    <w:r>
      <w:rPr>
        <w:rFonts w:ascii="Calibri (Body)" w:hAnsi="Calibri (Body)"/>
        <w:sz w:val="22"/>
      </w:rPr>
    </w:r>
    <w:r>
      <w:rPr>
        <w:rFonts w:ascii="Calibri (Body)" w:hAnsi="Calibri (Body)"/>
        <w:sz w:val="22"/>
      </w:rPr>
      <w:t xml:space="preserve">Page </w:t>
    </w:r>
    <w:r>
      <w:rPr>
        <w:rFonts w:ascii="Calibri (Body)" w:hAnsi="Calibri (Body)"/>
        <w:sz w:val="22"/>
      </w:rPr>
      <w:fldChar w:fldCharType="begin"/>
      <w:instrText xml:space="preserve">Page</w:instrText>
      <w:fldChar w:fldCharType="end"/>
    </w:r>
    <w:r>
      <w:rPr>
        <w:rFonts w:ascii="Calibri (Body)" w:hAnsi="Calibri (Body)"/>
        <w:sz w:val="22"/>
      </w:rPr>
      <w:t xml:space="preserve">		 DATE: Oct., 2022</w:t>
    </w:r>
  </w:p>
  <w:p>
    <w:pPr>
      <w:pStyle w:val="P20"/>
    </w:pPr>
  </w:p>
</w:hdr>
</file>

<file path=word/numbering.xml><?xml version="1.0" encoding="utf-8"?>
<w:numbering xmlns:w="http://schemas.openxmlformats.org/wordprocessingml/2006/main">
  <w:abstractNum w:abstractNumId="0">
    <w:nsid w:val="072B33C7"/>
    <w:multiLevelType w:val="multilevel"/>
    <w:lvl w:ilvl="0">
      <w:start w:val="1"/>
      <w:numFmt w:val="decimal"/>
      <w:suff w:val="tab"/>
      <w:lvlText w:val="%1."/>
      <w:lvlJc w:val="left"/>
      <w:pPr>
        <w:ind w:hanging="720" w:left="720"/>
        <w:tabs>
          <w:tab w:val="left" w:pos="0" w:leader="none"/>
        </w:tabs>
      </w:pPr>
      <w:rPr>
        <w:rFonts w:ascii="Times New Roman" w:hAnsi="Times New Roman"/>
        <w:u w:val="none"/>
      </w:rPr>
    </w:lvl>
    <w:lvl w:ilvl="1">
      <w:start w:val="1"/>
      <w:numFmt w:val="decimal"/>
      <w:suff w:val="tab"/>
      <w:lvlText w:val="%1.%2"/>
      <w:lvlJc w:val="left"/>
      <w:pPr>
        <w:ind w:hanging="720" w:left="1440"/>
        <w:tabs>
          <w:tab w:val="left" w:pos="0" w:leader="none"/>
        </w:tabs>
      </w:pPr>
      <w:rPr>
        <w:rFonts w:ascii="Times New Roman" w:hAnsi="Times New Roman"/>
        <w:sz w:val="20"/>
        <w:u w:val="none"/>
      </w:rPr>
    </w:lvl>
    <w:lvl w:ilvl="2">
      <w:start w:val="1"/>
      <w:numFmt w:val="decimal"/>
      <w:suff w:val="tab"/>
      <w:lvlText w:val="%1.%2.%3"/>
      <w:lvlJc w:val="left"/>
      <w:pPr>
        <w:ind w:hanging="720" w:left="2160"/>
        <w:tabs>
          <w:tab w:val="left" w:pos="720" w:leader="none"/>
        </w:tabs>
      </w:pPr>
      <w:rPr>
        <w:rFonts w:ascii="Times New Roman" w:hAnsi="Times New Roman"/>
      </w:rPr>
    </w:lvl>
    <w:lvl w:ilvl="3">
      <w:start w:val="1"/>
      <w:numFmt w:val="decimal"/>
      <w:suff w:val="tab"/>
      <w:lvlText w:val=".%4"/>
      <w:lvlJc w:val="left"/>
      <w:pPr>
        <w:ind w:hanging="720" w:left="2880"/>
        <w:tabs>
          <w:tab w:val="left" w:pos="2880" w:leader="none"/>
        </w:tabs>
      </w:pPr>
      <w:rPr>
        <w:rFonts w:ascii="Times New Roman" w:hAnsi="Times New Roman"/>
        <w:b w:val="0"/>
        <w:i w:val="0"/>
        <w:sz w:val="20"/>
      </w:rPr>
    </w:lvl>
    <w:lvl w:ilvl="4">
      <w:start w:val="1"/>
      <w:numFmt w:val="decimal"/>
      <w:suff w:val="tab"/>
      <w:lvlText w:val=".%5"/>
      <w:lvlJc w:val="left"/>
      <w:pPr>
        <w:ind w:hanging="1008" w:left="1008"/>
        <w:tabs>
          <w:tab w:val="left" w:pos="1008" w:leader="none"/>
        </w:tabs>
      </w:pPr>
      <w:rPr>
        <w:rFonts w:ascii="Times New Roman" w:hAnsi="Times New Roman"/>
      </w:rPr>
    </w:lvl>
    <w:lvl w:ilvl="5">
      <w:start w:val="1"/>
      <w:numFmt w:val="decimal"/>
      <w:suff w:val="tab"/>
      <w:lvlText w:val=".%6"/>
      <w:lvlJc w:val="left"/>
      <w:pPr>
        <w:ind w:hanging="1152" w:left="1152"/>
        <w:tabs>
          <w:tab w:val="left" w:pos="1152" w:leader="none"/>
        </w:tabs>
      </w:pPr>
      <w:rPr>
        <w:rFonts w:ascii="Times New Roman" w:hAnsi="Times New Roman"/>
        <w:sz w:val="20"/>
      </w:rPr>
    </w:lvl>
    <w:lvl w:ilvl="6">
      <w:start w:val="1"/>
      <w:numFmt w:val="decimal"/>
      <w:suff w:val="tab"/>
      <w:lvlText w:val=".%7"/>
      <w:lvlJc w:val="left"/>
      <w:pPr>
        <w:ind w:hanging="1296" w:left="1296"/>
        <w:tabs>
          <w:tab w:val="left" w:pos="1296" w:leader="none"/>
        </w:tabs>
      </w:pPr>
      <w:rPr>
        <w:rFonts w:ascii="Times New Roman" w:hAnsi="Times New Roman"/>
        <w:sz w:val="20"/>
      </w:rPr>
    </w:lvl>
    <w:lvl w:ilvl="7">
      <w:start w:val="1"/>
      <w:numFmt w:val="decimal"/>
      <w:suff w:val="tab"/>
      <w:lvlText w:val=".%7"/>
      <w:lvlJc w:val="left"/>
      <w:pPr>
        <w:ind w:hanging="720" w:left="5760"/>
        <w:tabs>
          <w:tab w:val="left" w:pos="5760" w:leader="none"/>
        </w:tabs>
      </w:pPr>
      <w:rPr/>
    </w:lvl>
    <w:lvl w:ilvl="8">
      <w:start w:val="1"/>
      <w:numFmt w:val="decimal"/>
      <w:suff w:val="tab"/>
      <w:lvlText w:val="%1.%2.%3.%4.%5.%6.%7.%8.%9"/>
      <w:lvlJc w:val="left"/>
      <w:pPr>
        <w:ind w:hanging="1584" w:left="1584"/>
        <w:tabs>
          <w:tab w:val="left" w:pos="1584" w:leader="none"/>
        </w:tabs>
      </w:pPr>
      <w:rPr/>
    </w:lvl>
  </w:abstractNum>
  <w:abstractNum w:abstractNumId="1">
    <w:nsid w:val="12870592"/>
    <w:multiLevelType w:val="multilevel"/>
    <w:lvl w:ilvl="0">
      <w:start w:val="1"/>
      <w:numFmt w:val="decimal"/>
      <w:suff w:val="tab"/>
      <w:lvlText w:val="PART %1."/>
      <w:lvlJc w:val="left"/>
      <w:pPr>
        <w:ind w:hanging="432" w:left="432"/>
        <w:tabs>
          <w:tab w:val="left" w:pos="432" w:leader="none"/>
        </w:tabs>
      </w:pPr>
      <w:rPr>
        <w:rFonts w:ascii="Calibri" w:hAnsi="Calibri"/>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2430"/>
        <w:tabs>
          <w:tab w:val="left" w:pos="-2430" w:leader="none"/>
        </w:tabs>
      </w:pPr>
      <w:rPr>
        <w:b w:val="0"/>
        <w:i w:val="0"/>
        <w:caps w:val="0"/>
        <w:strike w:val="0"/>
        <w:noProof w:val="0"/>
        <w:vanish w:val="0"/>
        <w:u w:val="none"/>
        <w:vertAlign w:val="baseline"/>
      </w:rPr>
    </w:lvl>
    <w:lvl w:ilvl="3">
      <w:start w:val="1"/>
      <w:numFmt w:val="decimal"/>
      <w:suff w:val="tab"/>
      <w:lvlText w:val=".%4"/>
      <w:lvlJc w:val="left"/>
      <w:pPr>
        <w:ind w:firstLine="3456" w:left="864"/>
        <w:tabs>
          <w:tab w:val="left" w:pos="864" w:leader="none"/>
        </w:tabs>
      </w:pPr>
      <w:rPr>
        <w:b w:val="0"/>
        <w:i w:val="0"/>
        <w:caps w:val="0"/>
        <w:strike w:val="0"/>
        <w:noProof w:val="0"/>
        <w:vanish w:val="0"/>
        <w:u w:val="none"/>
        <w:vertAlign w:val="baseline"/>
      </w:rPr>
    </w:lvl>
    <w:lvl w:ilvl="4">
      <w:start w:val="1"/>
      <w:numFmt w:val="decimal"/>
      <w:suff w:val="tab"/>
      <w:lvlText w:val="%5."/>
      <w:lvlJc w:val="left"/>
      <w:pPr>
        <w:ind w:firstLine="4320" w:left="720"/>
        <w:tabs>
          <w:tab w:val="left" w:pos="720" w:leader="none"/>
        </w:tabs>
      </w:pPr>
      <w:rPr/>
    </w:lvl>
    <w:lvl w:ilvl="5">
      <w:start w:val="1"/>
      <w:numFmt w:val="decimal"/>
      <w:suff w:val="tab"/>
      <w:lvlText w:val=".%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
    <w:nsid w:val="13833558"/>
    <w:multiLevelType w:val="multilevel"/>
    <w:lvl w:ilvl="0">
      <w:start w:val="1"/>
      <w:numFmt w:val="decimal"/>
      <w:pStyle w:val="P25"/>
      <w:suff w:val="nothing"/>
      <w:lvlText w:val="PART %1  -"/>
      <w:lvlJc w:val="left"/>
      <w:pPr>
        <w:ind w:hanging="288" w:left="288"/>
      </w:pPr>
      <w:rPr>
        <w:rFonts w:ascii="Univers" w:hAnsi="Univers"/>
        <w:sz w:val="22"/>
        <w:u w:val="single"/>
      </w:rPr>
    </w:lvl>
    <w:lvl w:ilvl="1">
      <w:start w:val="1"/>
      <w:numFmt w:val="decimal"/>
      <w:pStyle w:val="P26"/>
      <w:suff w:val="tab"/>
      <w:lvlText w:val="%1.%2"/>
      <w:lvlJc w:val="left"/>
      <w:pPr>
        <w:ind w:hanging="720" w:left="720"/>
        <w:tabs>
          <w:tab w:val="left" w:pos="720" w:leader="none"/>
        </w:tabs>
      </w:pPr>
      <w:rPr>
        <w:u w:val="none"/>
      </w:rPr>
    </w:lvl>
    <w:lvl w:ilvl="2">
      <w:start w:val="1"/>
      <w:numFmt w:val="decimal"/>
      <w:suff w:val="tab"/>
      <w:lvlText w:val=".%3"/>
      <w:lvlJc w:val="left"/>
      <w:pPr>
        <w:ind w:hanging="720" w:left="1440"/>
        <w:tabs>
          <w:tab w:val="left" w:pos="1440" w:leader="none"/>
        </w:tabs>
      </w:pPr>
      <w:rPr/>
    </w:lvl>
    <w:lvl w:ilvl="3">
      <w:start w:val="1"/>
      <w:numFmt w:val="decimal"/>
      <w:suff w:val="tab"/>
      <w:lvlText w:val=".%4"/>
      <w:lvlJc w:val="left"/>
      <w:pPr>
        <w:ind w:hanging="720" w:left="2160"/>
        <w:tabs>
          <w:tab w:val="left" w:pos="2160" w:leader="none"/>
        </w:tabs>
      </w:pPr>
      <w:rPr/>
    </w:lvl>
    <w:lvl w:ilvl="4">
      <w:start w:val="1"/>
      <w:numFmt w:val="decimal"/>
      <w:suff w:val="tab"/>
      <w:lvlText w:val=".%5"/>
      <w:lvlJc w:val="left"/>
      <w:pPr>
        <w:ind w:hanging="720" w:left="2880"/>
        <w:tabs>
          <w:tab w:val="left" w:pos="2880" w:leader="none"/>
        </w:tabs>
      </w:pPr>
      <w:rPr/>
    </w:lvl>
    <w:lvl w:ilvl="5">
      <w:start w:val="1"/>
      <w:numFmt w:val="decimal"/>
      <w:suff w:val="tab"/>
      <w:lvlText w:val=".%6"/>
      <w:lvlJc w:val="left"/>
      <w:pPr>
        <w:ind w:hanging="720" w:left="3600"/>
        <w:tabs>
          <w:tab w:val="left" w:pos="3600" w:leader="none"/>
        </w:tabs>
      </w:pPr>
      <w:rPr/>
    </w:lvl>
    <w:lvl w:ilvl="6">
      <w:start w:val="1"/>
      <w:numFmt w:val="decimal"/>
      <w:suff w:val="tab"/>
      <w:lvlText w:val=".%7"/>
      <w:lvlJc w:val="left"/>
      <w:pPr>
        <w:ind w:hanging="720" w:left="4320"/>
        <w:tabs>
          <w:tab w:val="left" w:pos="4320" w:leader="none"/>
        </w:tabs>
      </w:pPr>
      <w:rPr/>
    </w:lvl>
    <w:lvl w:ilvl="7">
      <w:start w:val="1"/>
      <w:numFmt w:val="decimal"/>
      <w:suff w:val="tab"/>
      <w:lvlText w:val=".%8"/>
      <w:lvlJc w:val="left"/>
      <w:pPr>
        <w:ind w:hanging="720" w:left="5040"/>
        <w:tabs>
          <w:tab w:val="left" w:pos="50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
    <w:nsid w:val="21B01253"/>
    <w:multiLevelType w:val="multilevel"/>
    <w:tmpl w:val="0409001D"/>
    <w:styleLink w:val="N1"/>
    <w:lvl w:ilvl="0">
      <w:start w:val="1"/>
      <w:numFmt w:val="decimal"/>
      <w:suff w:val="tab"/>
      <w:lvlText w:val="%1)"/>
      <w:lvlJc w:val="left"/>
      <w:pPr>
        <w:ind w:hanging="360" w:left="360"/>
      </w:pPr>
      <w:rPr/>
    </w:lvl>
    <w:lvl w:ilvl="1">
      <w:start w:val="1"/>
      <w:numFmt w:val="lowerLetter"/>
      <w:suff w:val="tab"/>
      <w:lvlText w:val="%2)"/>
      <w:lvlJc w:val="left"/>
      <w:pPr>
        <w:ind w:hanging="360" w:left="720"/>
      </w:pPr>
      <w:rPr/>
    </w:lvl>
    <w:lvl w:ilvl="2">
      <w:start w:val="1"/>
      <w:numFmt w:val="lowerRoman"/>
      <w:suff w:val="tab"/>
      <w:lvlText w:val="%3)"/>
      <w:lvlJc w:val="left"/>
      <w:pPr>
        <w:ind w:hanging="360" w:left="1080"/>
      </w:pPr>
      <w:rPr/>
    </w:lvl>
    <w:lvl w:ilvl="3">
      <w:start w:val="1"/>
      <w:numFmt w:val="decimal"/>
      <w:suff w:val="tab"/>
      <w:lvlText w:val="(%4)"/>
      <w:lvlJc w:val="left"/>
      <w:pPr>
        <w:ind w:hanging="360" w:left="1440"/>
      </w:pPr>
      <w:rPr/>
    </w:lvl>
    <w:lvl w:ilvl="4">
      <w:start w:val="1"/>
      <w:numFmt w:val="lowerLetter"/>
      <w:suff w:val="tab"/>
      <w:lvlText w:val="(%5)"/>
      <w:lvlJc w:val="left"/>
      <w:pPr>
        <w:ind w:hanging="360" w:left="1800"/>
      </w:pPr>
      <w:rPr/>
    </w:lvl>
    <w:lvl w:ilvl="5">
      <w:start w:val="1"/>
      <w:numFmt w:val="lowerRoman"/>
      <w:suff w:val="tab"/>
      <w:lvlText w:val="(%6)"/>
      <w:lvlJc w:val="left"/>
      <w:pPr>
        <w:ind w:hanging="360" w:left="2160"/>
      </w:pPr>
      <w:rPr/>
    </w:lvl>
    <w:lvl w:ilvl="6">
      <w:start w:val="1"/>
      <w:numFmt w:val="decimal"/>
      <w:suff w:val="tab"/>
      <w:lvlText w:val="%7."/>
      <w:lvlJc w:val="left"/>
      <w:pPr>
        <w:ind w:hanging="360" w:left="2520"/>
      </w:pPr>
      <w:rPr/>
    </w:lvl>
    <w:lvl w:ilvl="7">
      <w:start w:val="1"/>
      <w:numFmt w:val="lowerLetter"/>
      <w:suff w:val="tab"/>
      <w:lvlText w:val="%8."/>
      <w:lvlJc w:val="left"/>
      <w:pPr>
        <w:ind w:hanging="360" w:left="2880"/>
      </w:pPr>
      <w:rPr/>
    </w:lvl>
    <w:lvl w:ilvl="8">
      <w:start w:val="1"/>
      <w:numFmt w:val="lowerRoman"/>
      <w:suff w:val="tab"/>
      <w:lvlText w:val="%9."/>
      <w:lvlJc w:val="left"/>
      <w:pPr>
        <w:ind w:hanging="360" w:left="3240"/>
      </w:pPr>
      <w:rPr/>
    </w:lvl>
  </w:abstractNum>
  <w:abstractNum w:abstractNumId="5">
    <w:nsid w:val="23C913AE"/>
    <w:multiLevelType w:val="multilevel"/>
    <w:lvl w:ilvl="0">
      <w:start w:val="1"/>
      <w:numFmt w:val="decimal"/>
      <w:suff w:val="tab"/>
      <w:lvlText w:val="PART %1."/>
      <w:lvlJc w:val="left"/>
      <w:pPr>
        <w:ind w:hanging="720" w:left="720"/>
        <w:tabs>
          <w:tab w:val="left" w:pos="720" w:leader="none"/>
        </w:tabs>
      </w:pPr>
      <w:rPr>
        <w:rFonts w:ascii="Calibri" w:hAnsi="Calibri"/>
        <w:b w:val="0"/>
        <w:i w:val="0"/>
        <w:sz w:val="22"/>
      </w:rPr>
    </w:lvl>
    <w:lvl w:ilvl="1">
      <w:start w:val="1"/>
      <w:numFmt w:val="decimal"/>
      <w:suff w:val="tab"/>
      <w:lvlText w:val="%1.%2"/>
      <w:lvlJc w:val="left"/>
      <w:pPr>
        <w:ind w:hanging="720" w:left="720"/>
        <w:tabs>
          <w:tab w:val="left" w:pos="720" w:leader="none"/>
        </w:tabs>
      </w:pPr>
      <w:rPr>
        <w:rFonts w:ascii="Calibri" w:hAnsi="Calibri"/>
        <w:b w:val="0"/>
        <w:i w:val="0"/>
        <w:sz w:val="22"/>
      </w:rPr>
    </w:lvl>
    <w:lvl w:ilvl="2">
      <w:start w:val="1"/>
      <w:numFmt w:val="decimal"/>
      <w:suff w:val="tab"/>
      <w:lvlText w:val=".%3"/>
      <w:lvlJc w:val="left"/>
      <w:pPr>
        <w:ind w:hanging="720" w:left="1440"/>
        <w:tabs>
          <w:tab w:val="left" w:pos="1440" w:leader="none"/>
        </w:tabs>
      </w:pPr>
      <w:rPr>
        <w:rFonts w:ascii="Calibri" w:hAnsi="Calibri"/>
        <w:color w:val="000000"/>
        <w:sz w:val="22"/>
      </w:rPr>
    </w:lvl>
    <w:lvl w:ilvl="3">
      <w:start w:val="1"/>
      <w:numFmt w:val="decimal"/>
      <w:suff w:val="tab"/>
      <w:lvlText w:val=".%4"/>
      <w:lvlJc w:val="left"/>
      <w:pPr>
        <w:ind w:hanging="720" w:left="2160"/>
        <w:tabs>
          <w:tab w:val="left" w:pos="2160" w:leader="none"/>
        </w:tabs>
      </w:pPr>
      <w:rPr>
        <w:rFonts w:ascii="Calibri" w:hAnsi="Calibri"/>
        <w:b w:val="0"/>
        <w:i w:val="0"/>
        <w:sz w:val="22"/>
      </w:rPr>
    </w:lvl>
    <w:lvl w:ilvl="4">
      <w:start w:val="1"/>
      <w:numFmt w:val="decimal"/>
      <w:suff w:val="tab"/>
      <w:lvlText w:val=".%5"/>
      <w:lvlJc w:val="left"/>
      <w:pPr>
        <w:ind w:hanging="720" w:left="2880"/>
        <w:tabs>
          <w:tab w:val="left" w:pos="2880" w:leader="none"/>
        </w:tabs>
      </w:pPr>
      <w:rPr>
        <w:rFonts w:ascii="Calibri" w:hAnsi="Calibri"/>
        <w:b w:val="0"/>
        <w:i w:val="0"/>
        <w:sz w:val="22"/>
      </w:rPr>
    </w:lvl>
    <w:lvl w:ilvl="5">
      <w:start w:val="1"/>
      <w:numFmt w:val="decimal"/>
      <w:suff w:val="tab"/>
      <w:lvlText w:val=".%6"/>
      <w:lvlJc w:val="left"/>
      <w:pPr>
        <w:ind w:hanging="720" w:left="3600"/>
        <w:tabs>
          <w:tab w:val="left" w:pos="3600" w:leader="none"/>
        </w:tabs>
      </w:pPr>
      <w:rPr>
        <w:rFonts w:ascii="Calibri" w:hAnsi="Calibri"/>
        <w:b w:val="0"/>
        <w:i w:val="0"/>
        <w:sz w:val="22"/>
      </w:rPr>
    </w:lvl>
    <w:lvl w:ilvl="6">
      <w:start w:val="1"/>
      <w:numFmt w:val="decimal"/>
      <w:suff w:val="tab"/>
      <w:lvlText w:val=".%7"/>
      <w:lvlJc w:val="left"/>
      <w:pPr>
        <w:ind w:hanging="720" w:left="4320"/>
        <w:tabs>
          <w:tab w:val="left" w:pos="4320" w:leader="none"/>
        </w:tabs>
      </w:pPr>
      <w:rPr>
        <w:rFonts w:ascii="Calibri" w:hAnsi="Calibri"/>
        <w:b w:val="0"/>
        <w:i w:val="0"/>
        <w:sz w:val="22"/>
      </w:rPr>
    </w:lvl>
    <w:lvl w:ilvl="7">
      <w:start w:val="1"/>
      <w:numFmt w:val="decimal"/>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6">
    <w:nsid w:val="39EC5693"/>
    <w:multiLevelType w:val="hybridMultilevel"/>
    <w:lvl w:ilvl="0" w:tplc="D89C515E">
      <w:start w:val="1"/>
      <w:numFmt w:val="decimal"/>
      <w:suff w:val="tab"/>
      <w:lvlText w:val=".%1"/>
      <w:lvlJc w:val="left"/>
      <w:pPr>
        <w:shd w:val="clear" w:color="000000" w:fill="000000"/>
        <w:ind w:hanging="360" w:left="2880"/>
      </w:pPr>
      <w:rPr>
        <w:rFonts w:ascii="Times New Roman" w:hAnsi="Times New Roman"/>
        <w:b w:val="0"/>
        <w:i w:val="0"/>
        <w:caps w:val="0"/>
        <w:strike w:val="0"/>
        <w:noProof w:val="0"/>
        <w:vanish w:val="0"/>
        <w:color w:val="000000"/>
        <w:u w:val="none" w:color="000000"/>
        <w:vertAlign w:val="baseline"/>
      </w:rPr>
    </w:lvl>
    <w:lvl w:ilvl="1" w:tplc="04090019">
      <w:start w:val="1"/>
      <w:numFmt w:val="lowerLetter"/>
      <w:suff w:val="tab"/>
      <w:lvlText w:val="%2."/>
      <w:lvlJc w:val="left"/>
      <w:pPr>
        <w:ind w:hanging="360" w:left="3600"/>
      </w:pPr>
      <w:rPr/>
    </w:lvl>
    <w:lvl w:ilvl="2" w:tplc="0409001B">
      <w:start w:val="1"/>
      <w:numFmt w:val="lowerRoman"/>
      <w:suff w:val="tab"/>
      <w:lvlText w:val="%3."/>
      <w:lvlJc w:val="right"/>
      <w:pPr>
        <w:ind w:hanging="180" w:left="4320"/>
      </w:pPr>
      <w:rPr/>
    </w:lvl>
    <w:lvl w:ilvl="3" w:tplc="0409000F">
      <w:start w:val="1"/>
      <w:numFmt w:val="decimal"/>
      <w:suff w:val="tab"/>
      <w:lvlText w:val="%4."/>
      <w:lvlJc w:val="left"/>
      <w:pPr>
        <w:ind w:hanging="360" w:left="5040"/>
      </w:pPr>
      <w:rPr/>
    </w:lvl>
    <w:lvl w:ilvl="4" w:tplc="04090019">
      <w:start w:val="1"/>
      <w:numFmt w:val="lowerLetter"/>
      <w:suff w:val="tab"/>
      <w:lvlText w:val="%5."/>
      <w:lvlJc w:val="left"/>
      <w:pPr>
        <w:ind w:hanging="360" w:left="5760"/>
      </w:pPr>
      <w:rPr/>
    </w:lvl>
    <w:lvl w:ilvl="5" w:tplc="0409001B">
      <w:start w:val="1"/>
      <w:numFmt w:val="lowerRoman"/>
      <w:suff w:val="tab"/>
      <w:lvlText w:val="%6."/>
      <w:lvlJc w:val="right"/>
      <w:pPr>
        <w:ind w:hanging="180" w:left="6480"/>
      </w:pPr>
      <w:rPr/>
    </w:lvl>
    <w:lvl w:ilvl="6" w:tplc="0409000F">
      <w:start w:val="1"/>
      <w:numFmt w:val="decimal"/>
      <w:suff w:val="tab"/>
      <w:lvlText w:val="%7."/>
      <w:lvlJc w:val="left"/>
      <w:pPr>
        <w:ind w:hanging="360" w:left="7200"/>
      </w:pPr>
      <w:rPr/>
    </w:lvl>
    <w:lvl w:ilvl="7" w:tplc="04090019">
      <w:start w:val="1"/>
      <w:numFmt w:val="lowerLetter"/>
      <w:suff w:val="tab"/>
      <w:lvlText w:val="%8."/>
      <w:lvlJc w:val="left"/>
      <w:pPr>
        <w:ind w:hanging="360" w:left="7920"/>
      </w:pPr>
      <w:rPr/>
    </w:lvl>
    <w:lvl w:ilvl="8" w:tplc="0409001B">
      <w:start w:val="1"/>
      <w:numFmt w:val="lowerRoman"/>
      <w:suff w:val="tab"/>
      <w:lvlText w:val="%9."/>
      <w:lvlJc w:val="right"/>
      <w:pPr>
        <w:ind w:hanging="180" w:left="8640"/>
      </w:pPr>
      <w:rPr/>
    </w:lvl>
  </w:abstractNum>
  <w:abstractNum w:abstractNumId="7">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440"/>
        <w:tabs>
          <w:tab w:val="left" w:pos="1440" w:leader="none"/>
        </w:tabs>
      </w:pPr>
      <w:rPr>
        <w:rFonts w:ascii="Calibri" w:hAnsi="Calibri"/>
        <w:b w:val="0"/>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pStyle w:val="P5"/>
      <w:suff w:val="tab"/>
      <w:lvlText w:val=".%5"/>
      <w:lvlJc w:val="left"/>
      <w:pPr>
        <w:ind w:hanging="720" w:left="2880"/>
        <w:tabs>
          <w:tab w:val="left" w:pos="2880" w:leader="none"/>
        </w:tabs>
      </w:pPr>
      <w:rPr>
        <w:rFonts w:ascii="Calibri" w:hAnsi="Calibri"/>
        <w:b w:val="0"/>
        <w:i w:val="0"/>
        <w:sz w:val="22"/>
      </w:rPr>
    </w:lvl>
    <w:lvl w:ilvl="5">
      <w:start w:val="1"/>
      <w:numFmt w:val="decimal"/>
      <w:pStyle w:val="P6"/>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8">
    <w:nsid w:val="524606EC"/>
    <w:multiLevelType w:val="hybridMultilevel"/>
    <w:lvl w:ilvl="0" w:tplc="70DE87BC">
      <w:start w:val="1"/>
      <w:numFmt w:val="decimal"/>
      <w:pStyle w:val="P30"/>
      <w:suff w:val="tab"/>
      <w:lvlText w:val="%1."/>
      <w:lvlJc w:val="left"/>
      <w:pPr>
        <w:ind w:hanging="720" w:left="3600"/>
        <w:tabs>
          <w:tab w:val="left" w:pos="3600" w:leader="none"/>
        </w:tabs>
      </w:pPr>
      <w:rPr/>
    </w:lvl>
    <w:lvl w:ilvl="1" w:tplc="04090019">
      <w:start w:val="1"/>
      <w:numFmt w:val="lowerLetter"/>
      <w:suff w:val="tab"/>
      <w:lvlText w:val="%2."/>
      <w:lvlJc w:val="left"/>
      <w:pPr>
        <w:ind w:hanging="360" w:left="1440"/>
        <w:tabs>
          <w:tab w:val="left" w:pos="1440" w:leader="none"/>
        </w:tabs>
      </w:pPr>
      <w:rPr/>
    </w:lvl>
    <w:lvl w:ilvl="2" w:tplc="0409001B">
      <w:start w:val="1"/>
      <w:numFmt w:val="lowerRoman"/>
      <w:suff w:val="tab"/>
      <w:lvlText w:val="%3."/>
      <w:lvlJc w:val="right"/>
      <w:pPr>
        <w:ind w:hanging="180" w:left="2160"/>
        <w:tabs>
          <w:tab w:val="left" w:pos="2160" w:leader="none"/>
        </w:tabs>
      </w:pPr>
      <w:rPr/>
    </w:lvl>
    <w:lvl w:ilvl="3" w:tplc="0409000F">
      <w:start w:val="1"/>
      <w:numFmt w:val="decimal"/>
      <w:suff w:val="tab"/>
      <w:lvlText w:val="%4."/>
      <w:lvlJc w:val="left"/>
      <w:pPr>
        <w:ind w:hanging="360" w:left="2880"/>
        <w:tabs>
          <w:tab w:val="left" w:pos="2880" w:leader="none"/>
        </w:tabs>
      </w:pPr>
      <w:rPr/>
    </w:lvl>
    <w:lvl w:ilvl="4" w:tplc="04090019">
      <w:start w:val="1"/>
      <w:numFmt w:val="lowerLetter"/>
      <w:suff w:val="tab"/>
      <w:lvlText w:val="%5."/>
      <w:lvlJc w:val="left"/>
      <w:pPr>
        <w:ind w:hanging="360" w:left="3600"/>
        <w:tabs>
          <w:tab w:val="left" w:pos="3600" w:leader="none"/>
        </w:tabs>
      </w:pPr>
      <w:rPr/>
    </w:lvl>
    <w:lvl w:ilvl="5" w:tplc="0409001B">
      <w:start w:val="1"/>
      <w:numFmt w:val="lowerRoman"/>
      <w:suff w:val="tab"/>
      <w:lvlText w:val="%6."/>
      <w:lvlJc w:val="right"/>
      <w:pPr>
        <w:ind w:hanging="180" w:left="4320"/>
        <w:tabs>
          <w:tab w:val="left" w:pos="4320" w:leader="none"/>
        </w:tabs>
      </w:pPr>
      <w:rPr/>
    </w:lvl>
    <w:lvl w:ilvl="6" w:tplc="0409000F">
      <w:start w:val="1"/>
      <w:numFmt w:val="decimal"/>
      <w:suff w:val="tab"/>
      <w:lvlText w:val="%7."/>
      <w:lvlJc w:val="left"/>
      <w:pPr>
        <w:ind w:hanging="360" w:left="5040"/>
        <w:tabs>
          <w:tab w:val="left" w:pos="5040" w:leader="none"/>
        </w:tabs>
      </w:pPr>
      <w:rPr/>
    </w:lvl>
    <w:lvl w:ilvl="7" w:tplc="04090019">
      <w:start w:val="1"/>
      <w:numFmt w:val="lowerLetter"/>
      <w:suff w:val="tab"/>
      <w:lvlText w:val="%8."/>
      <w:lvlJc w:val="left"/>
      <w:pPr>
        <w:ind w:hanging="360" w:left="5760"/>
        <w:tabs>
          <w:tab w:val="left" w:pos="5760" w:leader="none"/>
        </w:tabs>
      </w:pPr>
      <w:rPr/>
    </w:lvl>
    <w:lvl w:ilvl="8" w:tplc="0409001B">
      <w:start w:val="1"/>
      <w:numFmt w:val="lowerRoman"/>
      <w:suff w:val="tab"/>
      <w:lvlText w:val="%9."/>
      <w:lvlJc w:val="right"/>
      <w:pPr>
        <w:ind w:hanging="180" w:left="6480"/>
        <w:tabs>
          <w:tab w:val="left" w:pos="6480" w:leader="none"/>
        </w:tabs>
      </w:pPr>
      <w:rPr/>
    </w:lvl>
  </w:abstractNum>
  <w:abstractNum w:abstractNumId="9">
    <w:nsid w:val="559B7087"/>
    <w:multiLevelType w:val="hybridMultilevel"/>
    <w:lvl w:ilvl="0" w:tplc="1436BF48">
      <w:start w:val="1"/>
      <w:numFmt w:val="decimal"/>
      <w:pStyle w:val="P29"/>
      <w:suff w:val="tab"/>
      <w:lvlText w:val="%1."/>
      <w:lvlJc w:val="left"/>
      <w:pPr>
        <w:ind w:hanging="720" w:left="2880"/>
        <w:tabs>
          <w:tab w:val="left" w:pos="2880" w:leader="none"/>
        </w:tabs>
      </w:pPr>
      <w:rPr/>
    </w:lvl>
    <w:lvl w:ilvl="1" w:tplc="04090003">
      <w:start w:val="1"/>
      <w:numFmt w:val="bullet"/>
      <w:suff w:val="tab"/>
      <w:lvlText w:val="o"/>
      <w:lvlJc w:val="left"/>
      <w:pPr>
        <w:ind w:hanging="360" w:left="3600"/>
        <w:tabs>
          <w:tab w:val="left" w:pos="3600" w:leader="none"/>
        </w:tabs>
      </w:pPr>
      <w:rPr>
        <w:rFonts w:ascii="Courier New" w:hAnsi="Courier New"/>
      </w:rPr>
    </w:lvl>
    <w:lvl w:ilvl="2" w:tplc="04090005">
      <w:start w:val="1"/>
      <w:numFmt w:val="bullet"/>
      <w:suff w:val="tab"/>
      <w:lvlText w:val=""/>
      <w:lvlJc w:val="left"/>
      <w:pPr>
        <w:ind w:hanging="360" w:left="4320"/>
        <w:tabs>
          <w:tab w:val="left" w:pos="4320" w:leader="none"/>
        </w:tabs>
      </w:pPr>
      <w:rPr>
        <w:rFonts w:ascii="Wingdings" w:hAnsi="Wingdings"/>
      </w:rPr>
    </w:lvl>
    <w:lvl w:ilvl="3" w:tplc="04090001">
      <w:start w:val="1"/>
      <w:numFmt w:val="bullet"/>
      <w:suff w:val="tab"/>
      <w:lvlText w:val=""/>
      <w:lvlJc w:val="left"/>
      <w:pPr>
        <w:ind w:hanging="360" w:left="5040"/>
        <w:tabs>
          <w:tab w:val="left" w:pos="5040" w:leader="none"/>
        </w:tabs>
      </w:pPr>
      <w:rPr>
        <w:rFonts w:ascii="Symbol" w:hAnsi="Symbol"/>
      </w:rPr>
    </w:lvl>
    <w:lvl w:ilvl="4" w:tplc="04090003">
      <w:start w:val="1"/>
      <w:numFmt w:val="bullet"/>
      <w:suff w:val="tab"/>
      <w:lvlText w:val="o"/>
      <w:lvlJc w:val="left"/>
      <w:pPr>
        <w:ind w:hanging="360" w:left="5760"/>
        <w:tabs>
          <w:tab w:val="left" w:pos="5760" w:leader="none"/>
        </w:tabs>
      </w:pPr>
      <w:rPr>
        <w:rFonts w:ascii="Courier New" w:hAnsi="Courier New"/>
      </w:rPr>
    </w:lvl>
    <w:lvl w:ilvl="5" w:tplc="04090005">
      <w:start w:val="1"/>
      <w:numFmt w:val="bullet"/>
      <w:suff w:val="tab"/>
      <w:lvlText w:val=""/>
      <w:lvlJc w:val="left"/>
      <w:pPr>
        <w:ind w:hanging="360" w:left="6480"/>
        <w:tabs>
          <w:tab w:val="left" w:pos="6480" w:leader="none"/>
        </w:tabs>
      </w:pPr>
      <w:rPr>
        <w:rFonts w:ascii="Wingdings" w:hAnsi="Wingdings"/>
      </w:rPr>
    </w:lvl>
    <w:lvl w:ilvl="6" w:tplc="04090001">
      <w:start w:val="1"/>
      <w:numFmt w:val="bullet"/>
      <w:suff w:val="tab"/>
      <w:lvlText w:val=""/>
      <w:lvlJc w:val="left"/>
      <w:pPr>
        <w:ind w:hanging="360" w:left="7200"/>
        <w:tabs>
          <w:tab w:val="left" w:pos="7200" w:leader="none"/>
        </w:tabs>
      </w:pPr>
      <w:rPr>
        <w:rFonts w:ascii="Symbol" w:hAnsi="Symbol"/>
      </w:rPr>
    </w:lvl>
    <w:lvl w:ilvl="7" w:tplc="04090003">
      <w:start w:val="1"/>
      <w:numFmt w:val="bullet"/>
      <w:suff w:val="tab"/>
      <w:lvlText w:val="o"/>
      <w:lvlJc w:val="left"/>
      <w:pPr>
        <w:ind w:hanging="360" w:left="7920"/>
        <w:tabs>
          <w:tab w:val="left" w:pos="7920" w:leader="none"/>
        </w:tabs>
      </w:pPr>
      <w:rPr>
        <w:rFonts w:ascii="Courier New" w:hAnsi="Courier New"/>
      </w:rPr>
    </w:lvl>
    <w:lvl w:ilvl="8" w:tplc="04090005">
      <w:start w:val="1"/>
      <w:numFmt w:val="bullet"/>
      <w:suff w:val="tab"/>
      <w:lvlText w:val=""/>
      <w:lvlJc w:val="left"/>
      <w:pPr>
        <w:ind w:hanging="360" w:left="8640"/>
        <w:tabs>
          <w:tab w:val="left" w:pos="8640" w:leader="none"/>
        </w:tabs>
      </w:pPr>
      <w:rPr>
        <w:rFonts w:ascii="Wingdings" w:hAnsi="Wingdings"/>
      </w:rPr>
    </w:lvl>
  </w:abstractNum>
  <w:abstractNum w:abstractNumId="10">
    <w:nsid w:val="5DD041F2"/>
    <w:multiLevelType w:val="hybridMultilevel"/>
    <w:lvl w:ilvl="0" w:tplc="04090001">
      <w:start w:val="1"/>
      <w:numFmt w:val="bullet"/>
      <w:suff w:val="tab"/>
      <w:lvlText w:val=""/>
      <w:lvlJc w:val="left"/>
      <w:pPr>
        <w:shd w:val="clear" w:color="000000" w:fill="000000"/>
        <w:ind w:hanging="360" w:left="2880"/>
      </w:pPr>
      <w:rPr>
        <w:rFonts w:ascii="Symbol" w:hAnsi="Symbol"/>
        <w:b w:val="0"/>
        <w:i w:val="0"/>
        <w:caps w:val="0"/>
        <w:strike w:val="0"/>
        <w:noProof w:val="0"/>
        <w:vanish w:val="0"/>
        <w:color w:val="000000"/>
        <w:u w:val="none" w:color="000000"/>
        <w:vertAlign w:val="baseline"/>
      </w:rPr>
    </w:lvl>
    <w:lvl w:ilvl="1" w:tplc="04090019">
      <w:start w:val="1"/>
      <w:numFmt w:val="lowerLetter"/>
      <w:suff w:val="tab"/>
      <w:lvlText w:val="%2."/>
      <w:lvlJc w:val="left"/>
      <w:pPr>
        <w:ind w:hanging="360" w:left="3600"/>
      </w:pPr>
      <w:rPr/>
    </w:lvl>
    <w:lvl w:ilvl="2" w:tplc="0409001B">
      <w:start w:val="1"/>
      <w:numFmt w:val="lowerRoman"/>
      <w:suff w:val="tab"/>
      <w:lvlText w:val="%3."/>
      <w:lvlJc w:val="right"/>
      <w:pPr>
        <w:ind w:hanging="180" w:left="4320"/>
      </w:pPr>
      <w:rPr/>
    </w:lvl>
    <w:lvl w:ilvl="3" w:tplc="0409000F">
      <w:start w:val="1"/>
      <w:numFmt w:val="decimal"/>
      <w:suff w:val="tab"/>
      <w:lvlText w:val="%4."/>
      <w:lvlJc w:val="left"/>
      <w:pPr>
        <w:ind w:hanging="360" w:left="5040"/>
      </w:pPr>
      <w:rPr/>
    </w:lvl>
    <w:lvl w:ilvl="4" w:tplc="04090019">
      <w:start w:val="1"/>
      <w:numFmt w:val="lowerLetter"/>
      <w:suff w:val="tab"/>
      <w:lvlText w:val="%5."/>
      <w:lvlJc w:val="left"/>
      <w:pPr>
        <w:ind w:hanging="360" w:left="5760"/>
      </w:pPr>
      <w:rPr/>
    </w:lvl>
    <w:lvl w:ilvl="5" w:tplc="0409001B">
      <w:start w:val="1"/>
      <w:numFmt w:val="lowerRoman"/>
      <w:suff w:val="tab"/>
      <w:lvlText w:val="%6."/>
      <w:lvlJc w:val="right"/>
      <w:pPr>
        <w:ind w:hanging="180" w:left="6480"/>
      </w:pPr>
      <w:rPr/>
    </w:lvl>
    <w:lvl w:ilvl="6" w:tplc="0409000F">
      <w:start w:val="1"/>
      <w:numFmt w:val="decimal"/>
      <w:suff w:val="tab"/>
      <w:lvlText w:val="%7."/>
      <w:lvlJc w:val="left"/>
      <w:pPr>
        <w:ind w:hanging="360" w:left="7200"/>
      </w:pPr>
      <w:rPr/>
    </w:lvl>
    <w:lvl w:ilvl="7" w:tplc="04090019">
      <w:start w:val="1"/>
      <w:numFmt w:val="lowerLetter"/>
      <w:suff w:val="tab"/>
      <w:lvlText w:val="%8."/>
      <w:lvlJc w:val="left"/>
      <w:pPr>
        <w:ind w:hanging="360" w:left="7920"/>
      </w:pPr>
      <w:rPr/>
    </w:lvl>
    <w:lvl w:ilvl="8" w:tplc="0409001B">
      <w:start w:val="1"/>
      <w:numFmt w:val="lowerRoman"/>
      <w:suff w:val="tab"/>
      <w:lvlText w:val="%9."/>
      <w:lvlJc w:val="right"/>
      <w:pPr>
        <w:ind w:hanging="180" w:left="8640"/>
      </w:pPr>
      <w:rPr/>
    </w:lvl>
  </w:abstractNum>
  <w:abstractNum w:abstractNumId="11">
    <w:nsid w:val="6A7557F2"/>
    <w:multiLevelType w:val="multilevel"/>
    <w:lvl w:ilvl="0">
      <w:start w:val="1"/>
      <w:numFmt w:val="decimal"/>
      <w:suff w:val="tab"/>
      <w:lvlText w:val="%1."/>
      <w:lvlJc w:val="left"/>
      <w:pPr>
        <w:ind w:hanging="720" w:left="720"/>
        <w:tabs>
          <w:tab w:val="left" w:pos="0" w:leader="none"/>
        </w:tabs>
      </w:pPr>
      <w:rPr>
        <w:rFonts w:ascii="Times New Roman" w:hAnsi="Times New Roman"/>
        <w:u w:val="none"/>
      </w:rPr>
    </w:lvl>
    <w:lvl w:ilvl="1">
      <w:start w:val="1"/>
      <w:numFmt w:val="decimal"/>
      <w:suff w:val="tab"/>
      <w:lvlText w:val="%1.%2"/>
      <w:lvlJc w:val="left"/>
      <w:pPr>
        <w:ind w:hanging="720" w:left="1440"/>
        <w:tabs>
          <w:tab w:val="left" w:pos="0" w:leader="none"/>
        </w:tabs>
      </w:pPr>
      <w:rPr>
        <w:rFonts w:ascii="Times New Roman" w:hAnsi="Times New Roman"/>
        <w:sz w:val="20"/>
        <w:u w:val="none"/>
      </w:rPr>
    </w:lvl>
    <w:lvl w:ilvl="2">
      <w:start w:val="1"/>
      <w:numFmt w:val="decimal"/>
      <w:suff w:val="tab"/>
      <w:lvlText w:val="%1.%2.%3"/>
      <w:lvlJc w:val="left"/>
      <w:pPr>
        <w:ind w:hanging="720" w:left="2160"/>
        <w:tabs>
          <w:tab w:val="left" w:pos="720" w:leader="none"/>
        </w:tabs>
      </w:pPr>
      <w:rPr>
        <w:rFonts w:ascii="Times New Roman" w:hAnsi="Times New Roman"/>
      </w:rPr>
    </w:lvl>
    <w:lvl w:ilvl="3">
      <w:start w:val="1"/>
      <w:numFmt w:val="decimal"/>
      <w:suff w:val="tab"/>
      <w:lvlText w:val=".%4"/>
      <w:lvlJc w:val="left"/>
      <w:pPr>
        <w:ind w:hanging="720" w:left="2880"/>
        <w:tabs>
          <w:tab w:val="left" w:pos="2880" w:leader="none"/>
        </w:tabs>
      </w:pPr>
      <w:rPr>
        <w:b w:val="0"/>
        <w:i w:val="0"/>
        <w:caps w:val="0"/>
        <w:strike w:val="0"/>
        <w:noProof w:val="0"/>
        <w:vanish w:val="0"/>
        <w:u w:val="none"/>
        <w:vertAlign w:val="baseline"/>
      </w:rPr>
    </w:lvl>
    <w:lvl w:ilvl="4">
      <w:start w:val="1"/>
      <w:numFmt w:val="decimal"/>
      <w:suff w:val="tab"/>
      <w:lvlText w:val=".%5"/>
      <w:lvlJc w:val="left"/>
      <w:pPr>
        <w:ind w:hanging="720" w:left="3600"/>
        <w:tabs>
          <w:tab w:val="left" w:pos="3600" w:leader="none"/>
        </w:tabs>
      </w:pPr>
      <w:rPr>
        <w:rFonts w:ascii="Times New Roman" w:hAnsi="Times New Roman"/>
        <w:b w:val="0"/>
        <w:i w:val="0"/>
        <w:color w:val="auto"/>
        <w:sz w:val="20"/>
      </w:rPr>
    </w:lvl>
    <w:lvl w:ilvl="5">
      <w:start w:val="1"/>
      <w:numFmt w:val="lowerLetter"/>
      <w:suff w:val="tab"/>
      <w:lvlText w:val="%6."/>
      <w:lvlJc w:val="left"/>
      <w:pPr>
        <w:ind w:hanging="720" w:left="4320"/>
        <w:tabs>
          <w:tab w:val="left" w:pos="4320" w:leader="none"/>
        </w:tabs>
      </w:pPr>
      <w:rPr>
        <w:rFonts w:ascii="Times New Roman" w:hAnsi="Times New Roman"/>
        <w:b w:val="0"/>
        <w:i w:val="0"/>
        <w:color w:val="auto"/>
        <w:sz w:val="20"/>
      </w:rPr>
    </w:lvl>
    <w:lvl w:ilvl="6">
      <w:start w:val="1"/>
      <w:numFmt w:val="decimal"/>
      <w:suff w:val="tab"/>
      <w:lvlText w:val=".%7"/>
      <w:lvlJc w:val="left"/>
      <w:pPr>
        <w:ind w:hanging="720" w:left="5040"/>
        <w:tabs>
          <w:tab w:val="left" w:pos="5040" w:leader="none"/>
        </w:tabs>
      </w:pPr>
      <w:rPr>
        <w:rFonts w:ascii="Times New Roman" w:hAnsi="Times New Roman"/>
        <w:b w:val="0"/>
        <w:i w:val="0"/>
        <w:color w:val="auto"/>
        <w:sz w:val="20"/>
      </w:rPr>
    </w:lvl>
    <w:lvl w:ilvl="7">
      <w:start w:val="1"/>
      <w:numFmt w:val="decimal"/>
      <w:suff w:val="tab"/>
      <w:lvlText w:val=".%7"/>
      <w:lvlJc w:val="left"/>
      <w:pPr>
        <w:ind w:hanging="720" w:left="5760"/>
        <w:tabs>
          <w:tab w:val="left" w:pos="5760" w:leader="none"/>
        </w:tabs>
      </w:pPr>
      <w:rPr/>
    </w:lvl>
    <w:lvl w:ilvl="8">
      <w:start w:val="1"/>
      <w:numFmt w:val="decimal"/>
      <w:suff w:val="tab"/>
      <w:lvlText w:val="%1.%2.%3.%4.%5.%6.%7.%8.%9"/>
      <w:lvlJc w:val="left"/>
      <w:pPr>
        <w:ind w:hanging="1584" w:left="1584"/>
        <w:tabs>
          <w:tab w:val="left" w:pos="1584" w:leader="none"/>
        </w:tabs>
      </w:pPr>
      <w:rPr/>
    </w:lvl>
  </w:abstractNum>
  <w:abstractNum w:abstractNumId="12">
    <w:nsid w:val="6FC653F4"/>
    <w:multiLevelType w:val="multilevel"/>
    <w:lvl w:ilvl="0">
      <w:start w:val="1"/>
      <w:numFmt w:val="decimal"/>
      <w:pStyle w:val="P36"/>
      <w:suff w:val="space"/>
      <w:lvlText w:val="PART %1"/>
      <w:lvlJc w:val="left"/>
      <w:pPr>
        <w:ind w:firstLine="0" w:left="0"/>
      </w:pPr>
      <w:rPr/>
    </w:lvl>
    <w:lvl w:ilvl="1">
      <w:start w:val="1"/>
      <w:numFmt w:val="decimal"/>
      <w:pStyle w:val="P37"/>
      <w:suff w:val="tab"/>
      <w:lvlText w:val="%1.%2"/>
      <w:lvlJc w:val="left"/>
      <w:pPr>
        <w:ind w:hanging="720" w:left="720"/>
        <w:tabs>
          <w:tab w:val="left" w:pos="720" w:leader="none"/>
        </w:tabs>
      </w:pPr>
      <w:rPr/>
    </w:lvl>
    <w:lvl w:ilvl="2">
      <w:start w:val="1"/>
      <w:numFmt w:val="upperLetter"/>
      <w:pStyle w:val="P38"/>
      <w:suff w:val="tab"/>
      <w:lvlText w:val="%3."/>
      <w:lvlJc w:val="left"/>
      <w:pPr>
        <w:ind w:hanging="720" w:left="1440"/>
        <w:tabs>
          <w:tab w:val="left" w:pos="1440" w:leader="none"/>
        </w:tabs>
      </w:pPr>
      <w:rPr/>
    </w:lvl>
    <w:lvl w:ilvl="3">
      <w:start w:val="1"/>
      <w:numFmt w:val="decimal"/>
      <w:pStyle w:val="P39"/>
      <w:suff w:val="tab"/>
      <w:lvlText w:val="%4."/>
      <w:lvlJc w:val="left"/>
      <w:pPr>
        <w:ind w:hanging="720" w:left="2160"/>
        <w:tabs>
          <w:tab w:val="left" w:pos="2160" w:leader="none"/>
        </w:tabs>
      </w:pPr>
      <w:rPr/>
    </w:lvl>
    <w:lvl w:ilvl="4">
      <w:start w:val="1"/>
      <w:numFmt w:val="lowerLetter"/>
      <w:pStyle w:val="P40"/>
      <w:suff w:val="tab"/>
      <w:lvlText w:val="%5."/>
      <w:lvlJc w:val="left"/>
      <w:pPr>
        <w:ind w:hanging="720" w:left="2880"/>
        <w:tabs>
          <w:tab w:val="left" w:pos="2880" w:leader="none"/>
        </w:tabs>
      </w:pPr>
      <w:rPr/>
    </w:lvl>
    <w:lvl w:ilvl="5">
      <w:start w:val="1"/>
      <w:numFmt w:val="decimal"/>
      <w:pStyle w:val="P41"/>
      <w:suff w:val="tab"/>
      <w:lvlText w:val="%6)"/>
      <w:lvlJc w:val="left"/>
      <w:pPr>
        <w:ind w:hanging="720" w:left="3600"/>
        <w:tabs>
          <w:tab w:val="left" w:pos="3600" w:leader="none"/>
        </w:tabs>
      </w:pPr>
      <w:rPr/>
    </w:lvl>
    <w:lvl w:ilvl="6">
      <w:start w:val="1"/>
      <w:numFmt w:val="lowerLetter"/>
      <w:pStyle w:val="P42"/>
      <w:suff w:val="tab"/>
      <w:lvlText w:val="%7)"/>
      <w:lvlJc w:val="left"/>
      <w:pPr>
        <w:ind w:hanging="720" w:left="4320"/>
        <w:tabs>
          <w:tab w:val="left" w:pos="4320" w:leader="none"/>
        </w:tabs>
      </w:pPr>
      <w:rPr/>
    </w:lvl>
    <w:lvl w:ilvl="7">
      <w:start w:val="1"/>
      <w:numFmt w:val="decimal"/>
      <w:pStyle w:val="P43"/>
      <w:suff w:val="tab"/>
      <w:lvlText w:val="(%8)"/>
      <w:lvlJc w:val="left"/>
      <w:pPr>
        <w:ind w:hanging="720" w:left="5040"/>
        <w:tabs>
          <w:tab w:val="left" w:pos="5040" w:leader="none"/>
        </w:tabs>
      </w:pPr>
      <w:rPr/>
    </w:lvl>
    <w:lvl w:ilvl="8">
      <w:start w:val="1"/>
      <w:numFmt w:val="lowerLetter"/>
      <w:pStyle w:val="P44"/>
      <w:suff w:val="tab"/>
      <w:lvlText w:val="(%9)"/>
      <w:lvlJc w:val="left"/>
      <w:pPr>
        <w:ind w:hanging="720" w:left="5760"/>
        <w:tabs>
          <w:tab w:val="left" w:pos="5760" w:leader="none"/>
        </w:tabs>
      </w:pPr>
      <w:rPr/>
    </w:lvl>
  </w:abstractNum>
  <w:abstractNum w:abstractNumId="13">
    <w:nsid w:val="773F0D9A"/>
    <w:multiLevelType w:val="hybridMultilevel"/>
    <w:lvl w:ilvl="0" w:tplc="808E2B84">
      <w:start w:val="1"/>
      <w:numFmt w:val="decimal"/>
      <w:pStyle w:val="P35"/>
      <w:suff w:val="tab"/>
      <w:lvlText w:val="%1."/>
      <w:lvlJc w:val="left"/>
      <w:pPr>
        <w:ind w:hanging="360" w:left="2880"/>
      </w:pPr>
      <w:rPr/>
    </w:lvl>
    <w:lvl w:ilvl="1" w:tplc="04090019">
      <w:start w:val="1"/>
      <w:numFmt w:val="lowerLetter"/>
      <w:suff w:val="tab"/>
      <w:lvlText w:val="%2."/>
      <w:lvlJc w:val="left"/>
      <w:pPr>
        <w:ind w:hanging="360" w:left="3600"/>
      </w:pPr>
      <w:rPr/>
    </w:lvl>
    <w:lvl w:ilvl="2" w:tplc="0409001B">
      <w:start w:val="1"/>
      <w:numFmt w:val="lowerRoman"/>
      <w:suff w:val="tab"/>
      <w:lvlText w:val="%3."/>
      <w:lvlJc w:val="right"/>
      <w:pPr>
        <w:ind w:hanging="180" w:left="4320"/>
      </w:pPr>
      <w:rPr/>
    </w:lvl>
    <w:lvl w:ilvl="3" w:tplc="0409000F">
      <w:start w:val="1"/>
      <w:numFmt w:val="decimal"/>
      <w:pStyle w:val="P35"/>
      <w:suff w:val="tab"/>
      <w:lvlText w:val="%4."/>
      <w:lvlJc w:val="left"/>
      <w:pPr>
        <w:ind w:hanging="360" w:left="5040"/>
      </w:pPr>
      <w:rPr/>
    </w:lvl>
    <w:lvl w:ilvl="4" w:tplc="04090019">
      <w:start w:val="1"/>
      <w:numFmt w:val="lowerLetter"/>
      <w:suff w:val="tab"/>
      <w:lvlText w:val="%5."/>
      <w:lvlJc w:val="left"/>
      <w:pPr>
        <w:ind w:hanging="360" w:left="5760"/>
      </w:pPr>
      <w:rPr/>
    </w:lvl>
    <w:lvl w:ilvl="5" w:tplc="0409001B">
      <w:start w:val="1"/>
      <w:numFmt w:val="lowerRoman"/>
      <w:suff w:val="tab"/>
      <w:lvlText w:val="%6."/>
      <w:lvlJc w:val="right"/>
      <w:pPr>
        <w:ind w:hanging="180" w:left="6480"/>
      </w:pPr>
      <w:rPr/>
    </w:lvl>
    <w:lvl w:ilvl="6" w:tplc="0409000F">
      <w:start w:val="1"/>
      <w:numFmt w:val="decimal"/>
      <w:suff w:val="tab"/>
      <w:lvlText w:val="%7."/>
      <w:lvlJc w:val="left"/>
      <w:pPr>
        <w:ind w:hanging="360" w:left="7200"/>
      </w:pPr>
      <w:rPr/>
    </w:lvl>
    <w:lvl w:ilvl="7" w:tplc="04090019">
      <w:start w:val="1"/>
      <w:numFmt w:val="lowerLetter"/>
      <w:suff w:val="tab"/>
      <w:lvlText w:val="%8."/>
      <w:lvlJc w:val="left"/>
      <w:pPr>
        <w:ind w:hanging="360" w:left="7920"/>
      </w:pPr>
      <w:rPr/>
    </w:lvl>
    <w:lvl w:ilvl="8" w:tplc="0409001B">
      <w:start w:val="1"/>
      <w:numFmt w:val="lowerRoman"/>
      <w:suff w:val="tab"/>
      <w:lvlText w:val="%9."/>
      <w:lvlJc w:val="right"/>
      <w:pPr>
        <w:ind w:hanging="180" w:left="8640"/>
      </w:pPr>
      <w:rPr/>
    </w:lvl>
  </w:abstractNum>
  <w:num w:numId="1">
    <w:abstractNumId w:val="11"/>
  </w:num>
  <w:num w:numId="2">
    <w:abstractNumId w:val="2"/>
  </w:num>
  <w:num w:numId="3">
    <w:abstractNumId w:val="8"/>
  </w:num>
  <w:num w:numId="4">
    <w:abstractNumId w:val="9"/>
  </w:num>
  <w:num w:numId="5">
    <w:abstractNumId w:val="4"/>
  </w:num>
  <w:num w:numId="6">
    <w:abstractNumId w:val="6"/>
  </w:num>
  <w:num w:numId="7">
    <w:abstractNumId w:val="13"/>
  </w:num>
  <w:num w:numId="8">
    <w:abstractNumId w:val="12"/>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1"/>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5"/>
  </w:num>
  <w:num w:numId="31">
    <w:abstractNumId w:val="3"/>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shd w:val="clear" w:color="auto" w:fill="auto"/>
        <w:vertAlign w:val="baseline"/>
        <w:lang w:val="en-CA" w:bidi="ar-SA" w:eastAsia="en-CA"/>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tyle>
  <w:style w:type="paragraph" w:styleId="P1">
    <w:name w:val="heading 1"/>
    <w:basedOn w:val="P31"/>
    <w:link w:val="C12"/>
    <w:qFormat/>
    <w:pPr>
      <w:numPr>
        <w:numId w:val="29"/>
      </w:numPr>
      <w:spacing w:before="160" w:beforeAutospacing="0" w:afterAutospacing="0"/>
      <w:outlineLvl w:val="0"/>
    </w:pPr>
    <w:rPr/>
  </w:style>
  <w:style w:type="paragraph" w:styleId="P2">
    <w:name w:val="heading 2"/>
    <w:basedOn w:val="P31"/>
    <w:next w:val="P0"/>
    <w:link w:val="C4"/>
    <w:qFormat/>
    <w:pPr>
      <w:numPr>
        <w:ilvl w:val="1"/>
        <w:numId w:val="29"/>
      </w:numPr>
      <w:spacing w:before="80" w:beforeAutospacing="0" w:afterAutospacing="0"/>
      <w:outlineLvl w:val="1"/>
    </w:pPr>
    <w:rPr>
      <w:u w:val="single"/>
    </w:rPr>
  </w:style>
  <w:style w:type="paragraph" w:styleId="P3">
    <w:name w:val="heading 3"/>
    <w:basedOn w:val="P31"/>
    <w:link w:val="C6"/>
    <w:qFormat/>
    <w:pPr>
      <w:numPr>
        <w:ilvl w:val="2"/>
        <w:numId w:val="29"/>
      </w:numPr>
      <w:outlineLvl w:val="2"/>
    </w:pPr>
    <w:rPr/>
  </w:style>
  <w:style w:type="paragraph" w:styleId="P4">
    <w:name w:val="heading 4"/>
    <w:basedOn w:val="P31"/>
    <w:link w:val="C8"/>
    <w:qFormat/>
    <w:pPr>
      <w:numPr>
        <w:ilvl w:val="3"/>
        <w:numId w:val="29"/>
      </w:numPr>
      <w:outlineLvl w:val="3"/>
    </w:pPr>
    <w:rPr/>
  </w:style>
  <w:style w:type="paragraph" w:styleId="P5">
    <w:name w:val="heading 5"/>
    <w:basedOn w:val="P4"/>
    <w:link w:val="C13"/>
    <w:qFormat/>
    <w:pPr>
      <w:numPr>
        <w:ilvl w:val="4"/>
      </w:numPr>
      <w:outlineLvl w:val="4"/>
    </w:pPr>
    <w:rPr/>
  </w:style>
  <w:style w:type="paragraph" w:styleId="P6">
    <w:name w:val="heading 6"/>
    <w:basedOn w:val="P5"/>
    <w:next w:val="P0"/>
    <w:link w:val="C14"/>
    <w:qFormat/>
    <w:pPr>
      <w:numPr>
        <w:ilvl w:val="5"/>
      </w:numPr>
      <w:outlineLvl w:val="5"/>
    </w:pPr>
    <w:rPr/>
  </w:style>
  <w:style w:type="paragraph" w:styleId="P7">
    <w:name w:val="heading 7"/>
    <w:basedOn w:val="P31"/>
    <w:next w:val="P0"/>
    <w:link w:val="C15"/>
    <w:qFormat/>
    <w:pPr>
      <w:numPr>
        <w:ilvl w:val="6"/>
        <w:numId w:val="29"/>
      </w:numPr>
      <w:outlineLvl w:val="6"/>
    </w:pPr>
    <w:rPr/>
  </w:style>
  <w:style w:type="paragraph" w:styleId="P8">
    <w:name w:val="heading 8"/>
    <w:basedOn w:val="P7"/>
    <w:next w:val="P0"/>
    <w:link w:val="C16"/>
    <w:qFormat/>
    <w:pPr>
      <w:numPr>
        <w:numId w:val="0"/>
      </w:numPr>
      <w:tabs>
        <w:tab w:val="left" w:pos="5040" w:leader="none"/>
      </w:tabs>
      <w:ind w:hanging="720" w:left="5040"/>
      <w:outlineLvl w:val="7"/>
    </w:pPr>
    <w:rPr/>
  </w:style>
  <w:style w:type="paragraph" w:styleId="P9">
    <w:name w:val="heading 9"/>
    <w:basedOn w:val="P8"/>
    <w:next w:val="P0"/>
    <w:link w:val="C17"/>
    <w:qFormat/>
    <w:pPr>
      <w:tabs>
        <w:tab w:val="clear" w:pos="5040" w:leader="none"/>
        <w:tab w:val="left" w:pos="5760" w:leader="none"/>
      </w:tabs>
      <w:ind w:left="5760"/>
      <w:outlineLvl w:val="8"/>
    </w:pPr>
    <w:rPr/>
  </w:style>
  <w:style w:type="paragraph" w:styleId="P10">
    <w:name w:val="toc 1"/>
    <w:basedOn w:val="P0"/>
    <w:next w:val="P0"/>
    <w:semiHidden/>
    <w:pPr/>
    <w:rPr>
      <w:b w:val="1"/>
      <w:i w:val="1"/>
    </w:rPr>
  </w:style>
  <w:style w:type="paragraph" w:styleId="P11">
    <w:name w:val="toc 2"/>
    <w:basedOn w:val="P0"/>
    <w:next w:val="P0"/>
    <w:semiHidden/>
    <w:pPr>
      <w:ind w:left="240"/>
    </w:pPr>
    <w:rPr/>
  </w:style>
  <w:style w:type="paragraph" w:styleId="P12">
    <w:name w:val="toc 3"/>
    <w:basedOn w:val="P0"/>
    <w:next w:val="P0"/>
    <w:semiHidden/>
    <w:pPr>
      <w:ind w:left="480"/>
    </w:pPr>
    <w:rPr/>
  </w:style>
  <w:style w:type="paragraph" w:styleId="P13">
    <w:name w:val="toc 4"/>
    <w:basedOn w:val="P0"/>
    <w:next w:val="P0"/>
    <w:semiHidden/>
    <w:pPr>
      <w:ind w:left="720"/>
    </w:pPr>
    <w:rPr/>
  </w:style>
  <w:style w:type="paragraph" w:styleId="P14">
    <w:name w:val="toc 5"/>
    <w:basedOn w:val="P0"/>
    <w:next w:val="P0"/>
    <w:semiHidden/>
    <w:pPr>
      <w:ind w:left="960"/>
    </w:pPr>
    <w:rPr/>
  </w:style>
  <w:style w:type="paragraph" w:styleId="P15">
    <w:name w:val="toc 6"/>
    <w:basedOn w:val="P0"/>
    <w:next w:val="P0"/>
    <w:semiHidden/>
    <w:pPr>
      <w:ind w:left="1200"/>
    </w:pPr>
    <w:rPr/>
  </w:style>
  <w:style w:type="paragraph" w:styleId="P16">
    <w:name w:val="toc 7"/>
    <w:basedOn w:val="P0"/>
    <w:next w:val="P0"/>
    <w:semiHidden/>
    <w:pPr>
      <w:ind w:left="1440"/>
    </w:pPr>
    <w:rPr/>
  </w:style>
  <w:style w:type="paragraph" w:styleId="P17">
    <w:name w:val="toc 8"/>
    <w:basedOn w:val="P0"/>
    <w:next w:val="P0"/>
    <w:semiHidden/>
    <w:pPr>
      <w:ind w:left="1680"/>
    </w:pPr>
    <w:rPr/>
  </w:style>
  <w:style w:type="paragraph" w:styleId="P18">
    <w:name w:val="toc 9"/>
    <w:basedOn w:val="P0"/>
    <w:next w:val="P0"/>
    <w:semiHidden/>
    <w:pPr>
      <w:ind w:left="1920"/>
    </w:pPr>
    <w:rPr/>
  </w:style>
  <w:style w:type="paragraph" w:styleId="P19">
    <w:name w:val="Body Text"/>
    <w:basedOn w:val="P0"/>
    <w:link w:val="C19"/>
    <w:pPr>
      <w:spacing w:after="160" w:beforeAutospacing="0" w:afterAutospacing="0"/>
    </w:pPr>
    <w:rPr>
      <w:rFonts w:ascii="Book Antiqua" w:hAnsi="Book Antiqua"/>
    </w:rPr>
  </w:style>
  <w:style w:type="paragraph" w:styleId="P20">
    <w:name w:val="header"/>
    <w:basedOn w:val="P0"/>
    <w:link w:val="C5"/>
    <w:pPr>
      <w:tabs>
        <w:tab w:val="center" w:pos="4320" w:leader="none"/>
        <w:tab w:val="right" w:pos="8640" w:leader="none"/>
      </w:tabs>
    </w:pPr>
    <w:rPr>
      <w:sz w:val="18"/>
    </w:rPr>
  </w:style>
  <w:style w:type="paragraph" w:styleId="P21">
    <w:name w:val="footer"/>
    <w:basedOn w:val="P0"/>
    <w:pPr>
      <w:tabs>
        <w:tab w:val="center" w:pos="4320" w:leader="none"/>
        <w:tab w:val="right" w:pos="8640" w:leader="none"/>
      </w:tabs>
    </w:pPr>
    <w:rPr/>
  </w:style>
  <w:style w:type="paragraph" w:styleId="P22">
    <w:name w:val="custom"/>
    <w:basedOn w:val="P0"/>
    <w:pPr>
      <w:ind w:hanging="1080" w:left="1080"/>
      <w:jc w:val="both"/>
    </w:pPr>
    <w:rPr>
      <w:b w:val="1"/>
      <w:u w:val="single"/>
    </w:rPr>
  </w:style>
  <w:style w:type="paragraph" w:styleId="P23">
    <w:name w:val="Table Text"/>
    <w:basedOn w:val="P0"/>
    <w:pPr>
      <w:spacing w:before="60" w:after="60" w:beforeAutospacing="0" w:afterAutospacing="0"/>
    </w:pPr>
    <w:rPr/>
  </w:style>
  <w:style w:type="paragraph" w:styleId="P24">
    <w:name w:val="Body Text Indent"/>
    <w:basedOn w:val="P0"/>
    <w:pPr>
      <w:tabs>
        <w:tab w:val="left" w:pos="-480" w:leader="none"/>
        <w:tab w:val="left" w:pos="540" w:leader="none"/>
        <w:tab w:val="left" w:pos="1080" w:leader="none"/>
        <w:tab w:val="left" w:pos="1260" w:leader="none"/>
        <w:tab w:val="left" w:pos="1440" w:leader="none"/>
        <w:tab w:val="left" w:pos="1620" w:leader="none"/>
        <w:tab w:val="left" w:pos="1800" w:leader="none"/>
        <w:tab w:val="left" w:pos="1980" w:leader="none"/>
        <w:tab w:val="left" w:pos="5760" w:leader="none"/>
      </w:tabs>
      <w:spacing w:lineRule="exact" w:line="230" w:beforeAutospacing="0" w:afterAutospacing="0"/>
      <w:ind w:left="900"/>
      <w:jc w:val="both"/>
    </w:pPr>
    <w:rPr>
      <w:i w:val="1"/>
      <w:color w:val="FF0000"/>
    </w:rPr>
  </w:style>
  <w:style w:type="paragraph" w:styleId="P25">
    <w:name w:val="Spec Heading 1"/>
    <w:basedOn w:val="P1"/>
    <w:pPr>
      <w:keepNext w:val="1"/>
      <w:keepLines w:val="1"/>
      <w:numPr>
        <w:numId w:val="2"/>
      </w:numPr>
      <w:pBdr>
        <w:top w:val="none" w:sz="0" w:space="0" w:shadow="0" w:frame="0"/>
        <w:left w:val="none" w:sz="0" w:space="0" w:shadow="0" w:frame="0"/>
        <w:bottom w:val="single" w:sz="4" w:space="0" w:shadow="0" w:frame="0"/>
        <w:right w:val="none" w:sz="0" w:space="0" w:shadow="0" w:frame="0"/>
      </w:pBdr>
      <w:tabs>
        <w:tab w:val="right" w:pos="10800" w:leader="dot"/>
      </w:tabs>
      <w:spacing w:lineRule="atLeast" w:line="240" w:after="240" w:beforeAutospacing="0" w:afterAutospacing="0"/>
      <w:ind w:right="7560"/>
    </w:pPr>
    <w:rPr>
      <w:caps w:val="1"/>
      <w:lang w:val="en-GB"/>
    </w:rPr>
  </w:style>
  <w:style w:type="paragraph" w:styleId="P26">
    <w:name w:val="Spec Heading 2"/>
    <w:basedOn w:val="P2"/>
    <w:pPr>
      <w:keepNext w:val="1"/>
      <w:keepLines w:val="1"/>
      <w:numPr>
        <w:numId w:val="2"/>
      </w:numPr>
      <w:pBdr>
        <w:top w:val="single" w:sz="6" w:space="1" w:shadow="0" w:frame="0" w:color="FFFFFF"/>
        <w:left w:val="none" w:sz="0" w:space="0" w:shadow="0" w:frame="0"/>
        <w:bottom w:val="none" w:sz="0" w:space="0" w:shadow="0" w:frame="0"/>
        <w:right w:val="none" w:sz="0" w:space="0" w:shadow="0" w:frame="0"/>
      </w:pBdr>
      <w:spacing w:lineRule="atLeast" w:line="240" w:after="240" w:beforeAutospacing="0" w:afterAutospacing="0"/>
      <w:ind w:right="2880"/>
    </w:pPr>
    <w:rPr/>
  </w:style>
  <w:style w:type="paragraph" w:styleId="P27">
    <w:name w:val="Normal Spec"/>
    <w:basedOn w:val="P0"/>
    <w:pPr>
      <w:widowControl w:val="0"/>
      <w:tabs>
        <w:tab w:val="center" w:pos="5400" w:leader="none"/>
        <w:tab w:val="right" w:pos="10620" w:leader="none"/>
      </w:tabs>
    </w:pPr>
    <w:rPr>
      <w:rFonts w:ascii="Univers (W1)" w:hAnsi="Univers (W1)"/>
    </w:rPr>
  </w:style>
  <w:style w:type="paragraph" w:styleId="P28">
    <w:name w:val="Balloon Text"/>
    <w:basedOn w:val="P0"/>
    <w:semiHidden/>
    <w:pPr/>
    <w:rPr>
      <w:rFonts w:ascii="Tahoma" w:hAnsi="Tahoma"/>
      <w:sz w:val="16"/>
    </w:rPr>
  </w:style>
  <w:style w:type="paragraph" w:styleId="P29">
    <w:name w:val="List"/>
    <w:basedOn w:val="P0"/>
    <w:pPr>
      <w:numPr>
        <w:numId w:val="4"/>
      </w:numPr>
      <w:jc w:val="both"/>
      <w:outlineLvl w:val="0"/>
    </w:pPr>
    <w:rPr/>
  </w:style>
  <w:style w:type="paragraph" w:styleId="P30">
    <w:name w:val="List 2"/>
    <w:basedOn w:val="P0"/>
    <w:pPr>
      <w:numPr>
        <w:numId w:val="3"/>
      </w:numPr>
      <w:jc w:val="both"/>
      <w:outlineLvl w:val="0"/>
    </w:pPr>
    <w:rPr>
      <w:lang w:val="en-GB"/>
    </w:rPr>
  </w:style>
  <w:style w:type="paragraph" w:styleId="P31">
    <w:name w:val="List Paragraph"/>
    <w:basedOn w:val="P0"/>
    <w:qFormat/>
    <w:pPr>
      <w:ind w:left="720"/>
      <w:contextualSpacing w:val="1"/>
    </w:pPr>
    <w:rPr/>
  </w:style>
  <w:style w:type="paragraph" w:styleId="P32">
    <w:name w:val="STTable"/>
    <w:basedOn w:val="P0"/>
    <w:pPr>
      <w:widowControl w:val="0"/>
      <w:spacing w:before="40" w:after="40" w:beforeAutospacing="0" w:afterAutospacing="0"/>
    </w:pPr>
    <w:rPr>
      <w:lang w:val="en-US"/>
    </w:rPr>
  </w:style>
  <w:style w:type="paragraph" w:styleId="P33">
    <w:name w:val="Table Heading"/>
    <w:basedOn w:val="P23"/>
    <w:pPr>
      <w:widowControl w:val="0"/>
      <w:spacing w:before="120" w:after="0" w:beforeAutospacing="0" w:afterAutospacing="0"/>
      <w:jc w:val="center"/>
    </w:pPr>
    <w:rPr>
      <w:b w:val="1"/>
      <w:lang w:val="en-US"/>
    </w:rPr>
  </w:style>
  <w:style w:type="paragraph" w:styleId="P34">
    <w:name w:val="Body Text Indent 3"/>
    <w:basedOn w:val="P0"/>
    <w:link w:val="C7"/>
    <w:pPr>
      <w:ind w:left="360"/>
    </w:pPr>
    <w:rPr>
      <w:sz w:val="16"/>
    </w:rPr>
  </w:style>
  <w:style w:type="paragraph" w:styleId="P35">
    <w:name w:val="Style Heading 4Heading 4 do not use + Left:  1.5&quot; Hanging:  0.63&quot;"/>
    <w:basedOn w:val="P4"/>
    <w:pPr>
      <w:numPr>
        <w:numId w:val="7"/>
      </w:numPr>
    </w:pPr>
    <w:rPr/>
  </w:style>
  <w:style w:type="paragraph" w:styleId="P36">
    <w:name w:val="SPECText[1]"/>
    <w:basedOn w:val="P0"/>
    <w:pPr>
      <w:keepNext w:val="1"/>
      <w:numPr>
        <w:numId w:val="8"/>
      </w:numPr>
      <w:spacing w:before="480" w:beforeAutospacing="0" w:afterAutospacing="0"/>
      <w:outlineLvl w:val="0"/>
    </w:pPr>
    <w:rPr>
      <w:lang w:val="en-US"/>
    </w:rPr>
  </w:style>
  <w:style w:type="paragraph" w:styleId="P37">
    <w:name w:val="SPECText[2]"/>
    <w:basedOn w:val="P0"/>
    <w:pPr>
      <w:keepNext w:val="1"/>
      <w:numPr>
        <w:ilvl w:val="1"/>
        <w:numId w:val="8"/>
      </w:numPr>
      <w:spacing w:before="240" w:beforeAutospacing="0" w:afterAutospacing="0"/>
      <w:outlineLvl w:val="1"/>
    </w:pPr>
    <w:rPr>
      <w:lang w:val="en-US"/>
    </w:rPr>
  </w:style>
  <w:style w:type="paragraph" w:styleId="P38">
    <w:name w:val="SPECText[3]"/>
    <w:basedOn w:val="P0"/>
    <w:pPr>
      <w:numPr>
        <w:ilvl w:val="2"/>
        <w:numId w:val="8"/>
      </w:numPr>
      <w:spacing w:before="240" w:beforeAutospacing="0" w:afterAutospacing="0"/>
      <w:outlineLvl w:val="2"/>
    </w:pPr>
    <w:rPr>
      <w:lang w:val="en-US"/>
    </w:rPr>
  </w:style>
  <w:style w:type="paragraph" w:styleId="P39">
    <w:name w:val="SPECText[4]"/>
    <w:basedOn w:val="P0"/>
    <w:pPr>
      <w:numPr>
        <w:ilvl w:val="3"/>
        <w:numId w:val="8"/>
      </w:numPr>
      <w:outlineLvl w:val="3"/>
    </w:pPr>
    <w:rPr>
      <w:lang w:val="en-US"/>
    </w:rPr>
  </w:style>
  <w:style w:type="paragraph" w:styleId="P40">
    <w:name w:val="SPECText[5]"/>
    <w:basedOn w:val="P0"/>
    <w:pPr>
      <w:numPr>
        <w:ilvl w:val="4"/>
        <w:numId w:val="8"/>
      </w:numPr>
      <w:outlineLvl w:val="4"/>
    </w:pPr>
    <w:rPr>
      <w:lang w:val="en-US"/>
    </w:rPr>
  </w:style>
  <w:style w:type="paragraph" w:styleId="P41">
    <w:name w:val="SPECText[6]"/>
    <w:basedOn w:val="P0"/>
    <w:pPr>
      <w:numPr>
        <w:ilvl w:val="5"/>
        <w:numId w:val="8"/>
      </w:numPr>
      <w:outlineLvl w:val="5"/>
    </w:pPr>
    <w:rPr>
      <w:lang w:val="en-US"/>
    </w:rPr>
  </w:style>
  <w:style w:type="paragraph" w:styleId="P42">
    <w:name w:val="SPECText[7]"/>
    <w:basedOn w:val="P0"/>
    <w:pPr>
      <w:numPr>
        <w:ilvl w:val="6"/>
        <w:numId w:val="8"/>
      </w:numPr>
      <w:outlineLvl w:val="6"/>
    </w:pPr>
    <w:rPr>
      <w:lang w:val="en-US"/>
    </w:rPr>
  </w:style>
  <w:style w:type="paragraph" w:styleId="P43">
    <w:name w:val="SPECText[8]"/>
    <w:basedOn w:val="P0"/>
    <w:pPr>
      <w:numPr>
        <w:ilvl w:val="7"/>
        <w:numId w:val="8"/>
      </w:numPr>
      <w:outlineLvl w:val="7"/>
    </w:pPr>
    <w:rPr>
      <w:lang w:val="en-US"/>
    </w:rPr>
  </w:style>
  <w:style w:type="paragraph" w:styleId="P44">
    <w:name w:val="SPECText[9]"/>
    <w:basedOn w:val="P0"/>
    <w:pPr>
      <w:numPr>
        <w:ilvl w:val="8"/>
        <w:numId w:val="8"/>
      </w:numPr>
      <w:outlineLvl w:val="8"/>
    </w:pPr>
    <w:rPr>
      <w:lang w:val="en-US"/>
    </w:rPr>
  </w:style>
  <w:style w:type="paragraph" w:styleId="P45">
    <w:name w:val="annotation text"/>
    <w:basedOn w:val="P0"/>
    <w:link w:val="C10"/>
    <w:pPr>
      <w:jc w:val="both"/>
    </w:pPr>
    <w:rPr>
      <w:rFonts w:ascii="Arial" w:hAnsi="Arial"/>
      <w:lang w:val="en-US"/>
    </w:rPr>
  </w:style>
  <w:style w:type="paragraph" w:styleId="P46">
    <w:name w:val="Table list"/>
    <w:basedOn w:val="P47"/>
    <w:pPr/>
    <w:rPr>
      <w:rFonts w:ascii="Book Antiqua" w:hAnsi="Book Antiqua"/>
      <w:lang w:val="en-US"/>
    </w:rPr>
  </w:style>
  <w:style w:type="paragraph" w:styleId="P47">
    <w:name w:val="endnote text"/>
    <w:basedOn w:val="P0"/>
    <w:link w:val="C11"/>
    <w:pPr/>
    <w:rPr/>
  </w:style>
  <w:style w:type="paragraph" w:styleId="P48">
    <w:name w:val="End of Section"/>
    <w:basedOn w:val="P0"/>
    <w:pPr>
      <w:suppressAutoHyphens w:val="1"/>
      <w:spacing w:before="240" w:beforeAutospacing="0" w:afterAutospacing="0"/>
      <w:jc w:val="center"/>
    </w:pPr>
    <w:rPr>
      <w:caps w:val="1"/>
      <w:lang w:val="en-GB"/>
    </w:rPr>
  </w:style>
  <w:style w:type="paragraph" w:styleId="P49">
    <w:name w:val="Not Applicable"/>
    <w:basedOn w:val="P0"/>
    <w:pPr>
      <w:spacing w:after="240" w:beforeAutospacing="0" w:afterAutospacing="0"/>
      <w:ind w:left="1440"/>
    </w:pPr>
    <w:rPr>
      <w:lang w:val="en-GB"/>
    </w:rPr>
  </w:style>
  <w:style w:type="paragraph" w:styleId="P50">
    <w:name w:val="Title"/>
    <w:basedOn w:val="P0"/>
    <w:link w:val="C18"/>
    <w:qFormat/>
    <w:pPr>
      <w:keepNext w:val="1"/>
      <w:spacing w:before="160" w:after="30" w:beforeAutospacing="0" w:afterAutospacing="0"/>
    </w:pPr>
    <w:rPr>
      <w:rFonts w:ascii="Arial Narrow" w:hAnsi="Arial Narrow"/>
      <w:b w:val="1"/>
    </w:rPr>
  </w:style>
  <w:style w:type="paragraph" w:styleId="P51">
    <w:name w:val="2015.04.21_specs"/>
    <w:basedOn w:val="P1"/>
    <w:link w:val="C21"/>
    <w:qFormat/>
    <w:pPr>
      <w:numPr>
        <w:numId w:val="0"/>
      </w:numPr>
      <w:tabs>
        <w:tab w:val="left" w:pos="720" w:leader="none"/>
      </w:tabs>
      <w:ind w:hanging="720" w:left="720"/>
    </w:pPr>
    <w:rPr/>
  </w:style>
  <w:style w:type="paragraph" w:styleId="P52">
    <w:name w:val="annotation subject"/>
    <w:basedOn w:val="P45"/>
    <w:next w:val="P45"/>
    <w:link w:val="C22"/>
    <w:pPr>
      <w:jc w:val="left"/>
    </w:pPr>
    <w:rPr>
      <w:rFonts w:ascii="Calibri" w:hAnsi="Calibri"/>
      <w:b w:val="1"/>
      <w:sz w:val="20"/>
      <w:lang w:val="en-CA"/>
    </w:rPr>
  </w:style>
  <w:style w:type="paragraph" w:styleId="P53">
    <w:name w:val="Revision"/>
    <w:hidden/>
    <w:semiHidden/>
    <w:pPr/>
    <w:rPr/>
  </w:style>
  <w:style w:type="paragraph" w:styleId="P54">
    <w:name w:val="Normal Table Text"/>
    <w:basedOn w:val="P0"/>
    <w:pPr>
      <w:widowControl w:val="0"/>
      <w:spacing w:before="60" w:after="60" w:beforeAutospacing="0" w:afterAutospacing="0"/>
    </w:pPr>
    <w:rPr>
      <w:rFonts w:ascii="Arial" w:hAnsi="Arial"/>
      <w:sz w:val="20"/>
      <w:lang w:val="en-GB" w:eastAsia="en-US"/>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page number"/>
    <w:basedOn w:val="C0"/>
    <w:rPr>
      <w:rFonts w:ascii="Univers" w:hAnsi="Univers"/>
      <w:sz w:val="18"/>
    </w:rPr>
  </w:style>
  <w:style w:type="character" w:styleId="C4">
    <w:name w:val="Heading 2 Char"/>
    <w:link w:val="P2"/>
    <w:rPr>
      <w:u w:val="single"/>
    </w:rPr>
  </w:style>
  <w:style w:type="character" w:styleId="C5">
    <w:name w:val="Header Char"/>
    <w:basedOn w:val="C0"/>
    <w:link w:val="P20"/>
    <w:rPr>
      <w:sz w:val="18"/>
    </w:rPr>
  </w:style>
  <w:style w:type="character" w:styleId="C6">
    <w:name w:val="Heading 3 Char"/>
    <w:link w:val="P3"/>
    <w:rPr/>
  </w:style>
  <w:style w:type="character" w:styleId="C7">
    <w:name w:val="Body Text Indent 3 Char"/>
    <w:basedOn w:val="C0"/>
    <w:link w:val="P34"/>
    <w:rPr>
      <w:sz w:val="16"/>
    </w:rPr>
  </w:style>
  <w:style w:type="character" w:styleId="C8">
    <w:name w:val="Heading 4 Char"/>
    <w:basedOn w:val="C0"/>
    <w:link w:val="P4"/>
    <w:rPr/>
  </w:style>
  <w:style w:type="character" w:styleId="C9">
    <w:name w:val="annotation reference"/>
    <w:basedOn w:val="C0"/>
    <w:rPr>
      <w:sz w:val="16"/>
    </w:rPr>
  </w:style>
  <w:style w:type="character" w:styleId="C10">
    <w:name w:val="Comment Text Char"/>
    <w:basedOn w:val="C0"/>
    <w:link w:val="P45"/>
    <w:rPr>
      <w:rFonts w:ascii="Arial" w:hAnsi="Arial"/>
      <w:lang w:val="en-US"/>
    </w:rPr>
  </w:style>
  <w:style w:type="character" w:styleId="C11">
    <w:name w:val="Endnote Text Char"/>
    <w:basedOn w:val="C0"/>
    <w:link w:val="P47"/>
    <w:rPr/>
  </w:style>
  <w:style w:type="character" w:styleId="C12">
    <w:name w:val="Heading 1 Char"/>
    <w:basedOn w:val="C0"/>
    <w:link w:val="P1"/>
    <w:rPr/>
  </w:style>
  <w:style w:type="character" w:styleId="C13">
    <w:name w:val="Heading 5 Char"/>
    <w:link w:val="P5"/>
    <w:rPr/>
  </w:style>
  <w:style w:type="character" w:styleId="C14">
    <w:name w:val="Heading 6 Char"/>
    <w:link w:val="P6"/>
    <w:rPr/>
  </w:style>
  <w:style w:type="character" w:styleId="C15">
    <w:name w:val="Heading 7 Char"/>
    <w:link w:val="P7"/>
    <w:rPr/>
  </w:style>
  <w:style w:type="character" w:styleId="C16">
    <w:name w:val="Heading 8 Char"/>
    <w:basedOn w:val="C0"/>
    <w:link w:val="P8"/>
    <w:rPr/>
  </w:style>
  <w:style w:type="character" w:styleId="C17">
    <w:name w:val="Heading 9 Char"/>
    <w:basedOn w:val="C0"/>
    <w:link w:val="P9"/>
    <w:rPr/>
  </w:style>
  <w:style w:type="character" w:styleId="C18">
    <w:name w:val="Title Char"/>
    <w:basedOn w:val="C0"/>
    <w:link w:val="P50"/>
    <w:rPr>
      <w:rFonts w:ascii="Arial Narrow" w:hAnsi="Arial Narrow"/>
      <w:b w:val="1"/>
    </w:rPr>
  </w:style>
  <w:style w:type="character" w:styleId="C19">
    <w:name w:val="Body Text Char"/>
    <w:link w:val="P19"/>
    <w:rPr>
      <w:rFonts w:ascii="Book Antiqua" w:hAnsi="Book Antiqua"/>
    </w:rPr>
  </w:style>
  <w:style w:type="character" w:styleId="C20">
    <w:name w:val="Strong"/>
    <w:qFormat/>
    <w:rPr>
      <w:b w:val="1"/>
    </w:rPr>
  </w:style>
  <w:style w:type="character" w:styleId="C21">
    <w:name w:val="2015.04.21_specs Char"/>
    <w:basedOn w:val="C12"/>
    <w:link w:val="P51"/>
    <w:rPr/>
  </w:style>
  <w:style w:type="character" w:styleId="C22">
    <w:name w:val="Comment Subject Char"/>
    <w:basedOn w:val="C10"/>
    <w:link w:val="P52"/>
    <w:rPr>
      <w:rFonts w:ascii="Calibri" w:hAnsi="Calibri"/>
      <w:b w:val="1"/>
      <w:sz w:val="20"/>
      <w:lang w:val="en-CA"/>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 w:type="numbering" w:styleId="N1">
    <w:name w:val="Style1"/>
    <w:pPr>
      <w:numPr>
        <w:numId w:val="5"/>
      </w:numPr>
    </w:pPr>
  </w:style>
</w:styles>
</file>

<file path=word/_rels/document.xml.rels><?xml version='1.0' encoding='UTF-8' standalone='yes'?>
<Relationships xmlns="http://schemas.openxmlformats.org/package/2006/relationships"><Relationship Id="RelHdr1" Type="http://schemas.openxmlformats.org/officeDocument/2006/relationships/header" Target="header1.xml"/><Relationship Id="RelHdr2" Type="http://schemas.openxmlformats.org/officeDocument/2006/relationships/header" Target="header2.xml"/><Relationship Id="RelFtr1" Type="http://schemas.openxmlformats.org/officeDocument/2006/relationships/footer" Target="footer1.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2016-04-12T18:36:00Z</dcterms:created>
  <cp:lastModifiedBy>Ray</cp:lastModifiedBy>
  <cp:lastPrinted>2013-08-01T15:51:00Z</cp:lastPrinted>
  <dcterms:modified xsi:type="dcterms:W3CDTF">2022-10-04T19:38:51Z</dcterms:modified>
  <cp:revision>6</cp:revision>
  <dc:title>05050_Welding (Apr 12,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_dlc_DocIdItemGuid">
    <vt:lpwstr>8349a4a1-641c-476a-934f-c87680e3b8ca</vt:lpwstr>
  </property>
  <property fmtid="{D5CDD505-2E9C-101B-9397-08002B2CF9AE}" pid="3" name="ContentTypeId">
    <vt:lpwstr>0x0101002C8EB43B80798C4FB094C17ED1216626</vt:lpwstr>
  </property>
</Properties>
</file>