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BED6F7A" Type="http://schemas.openxmlformats.org/officeDocument/2006/relationships/officeDocument" Target="/word/document.xml" /><Relationship Id="coreRBED6F7A" Type="http://schemas.openxmlformats.org/package/2006/relationships/metadata/core-properties" Target="/docProps/core.xml" /><Relationship Id="customRBED6F7A"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sz w:val="22"/>
              </w:rPr>
            </w:pPr>
            <w:r>
              <w:rPr>
                <w:sz w:val="22"/>
              </w:rPr>
              <w:t>Version</w:t>
            </w:r>
          </w:p>
        </w:tc>
        <w:tc>
          <w:tcPr>
            <w:tcW w:w="2160" w:type="dxa"/>
            <w:tcBorders>
              <w:top w:val="double" w:sz="6" w:space="0" w:shadow="0" w:frame="0"/>
              <w:left w:val="single" w:sz="6" w:space="0" w:shadow="0" w:frame="0"/>
              <w:bottom w:val="single" w:sz="6" w:space="0" w:shadow="0" w:frame="0"/>
              <w:right w:val="single" w:sz="6" w:space="0" w:shadow="0" w:frame="0"/>
            </w:tcBorders>
          </w:tcPr>
          <w:p>
            <w:pPr>
              <w:pStyle w:val="P47"/>
              <w:rPr>
                <w:sz w:val="22"/>
              </w:rPr>
            </w:pPr>
            <w:r>
              <w:rPr>
                <w:sz w:val="22"/>
              </w:rPr>
              <w:t>Date</w:t>
            </w:r>
          </w:p>
        </w:tc>
        <w:tc>
          <w:tcPr>
            <w:tcW w:w="5683" w:type="dxa"/>
            <w:tcBorders>
              <w:top w:val="double" w:sz="6" w:space="0" w:shadow="0" w:frame="0"/>
              <w:left w:val="single" w:sz="6" w:space="0" w:shadow="0" w:frame="0"/>
              <w:bottom w:val="single" w:sz="6" w:space="0" w:shadow="0" w:frame="0"/>
              <w:right w:val="double" w:sz="6" w:space="0" w:shadow="0" w:frame="0"/>
            </w:tcBorders>
          </w:tcPr>
          <w:p>
            <w:pPr>
              <w:pStyle w:val="P47"/>
              <w:rPr>
                <w:sz w:val="22"/>
              </w:rPr>
            </w:pPr>
            <w:r>
              <w:rPr>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sz w:val="22"/>
              </w:rPr>
            </w:pPr>
            <w:r>
              <w:rPr>
                <w:sz w:val="22"/>
              </w:rPr>
              <w:t>1</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46"/>
              <w:rPr>
                <w:sz w:val="22"/>
              </w:rPr>
            </w:pPr>
            <w:r>
              <w:rPr>
                <w:sz w:val="22"/>
              </w:rPr>
              <w:t>March 18, 2016</w:t>
            </w:r>
          </w:p>
        </w:tc>
        <w:tc>
          <w:tcPr>
            <w:tcW w:w="5683" w:type="dxa"/>
            <w:tcBorders>
              <w:top w:val="single" w:sz="6" w:space="0" w:shadow="0" w:frame="0"/>
              <w:left w:val="single" w:sz="6" w:space="0" w:shadow="0" w:frame="0"/>
              <w:bottom w:val="single" w:sz="6" w:space="0" w:shadow="0" w:frame="0"/>
              <w:right w:val="double" w:sz="6" w:space="0" w:shadow="0" w:frame="0"/>
            </w:tcBorders>
          </w:tcPr>
          <w:p>
            <w:pPr>
              <w:pStyle w:val="P46"/>
              <w:rPr>
                <w:sz w:val="22"/>
              </w:rPr>
            </w:pPr>
            <w:r>
              <w:rPr>
                <w:sz w:val="22"/>
              </w:rPr>
              <w:t>New Specification (AAM)</w:t>
            </w:r>
          </w:p>
        </w:tc>
      </w:tr>
      <w:tr>
        <w:trPr>
          <w:cantSplit/>
          <w:jc w:val="center"/>
        </w:trPr>
        <w:tc>
          <w:tcPr>
            <w:tcW w:w="1004" w:type="dxa"/>
            <w:tcBorders>
              <w:top w:val="single" w:sz="4" w:space="0" w:shadow="0" w:frame="0"/>
              <w:left w:val="double" w:sz="6" w:space="0" w:shadow="0" w:frame="0"/>
              <w:bottom w:val="single" w:sz="4" w:space="0" w:shadow="0" w:frame="0"/>
              <w:right w:val="single" w:sz="4" w:space="0" w:shadow="0" w:frame="0"/>
            </w:tcBorders>
          </w:tcPr>
          <w:p>
            <w:pPr>
              <w:pStyle w:val="P46"/>
              <w:rPr>
                <w:sz w:val="22"/>
              </w:rPr>
            </w:pPr>
            <w:r>
              <w:rPr>
                <w:sz w:val="22"/>
              </w:rPr>
              <w:t>2</w:t>
            </w:r>
          </w:p>
        </w:tc>
        <w:tc>
          <w:tcPr>
            <w:tcW w:w="2160" w:type="dxa"/>
            <w:tcBorders>
              <w:top w:val="single" w:sz="4" w:space="0" w:shadow="0" w:frame="0"/>
              <w:left w:val="single" w:sz="4" w:space="0" w:shadow="0" w:frame="0"/>
              <w:bottom w:val="single" w:sz="4" w:space="0" w:shadow="0" w:frame="0"/>
              <w:right w:val="single" w:sz="4" w:space="0" w:shadow="0" w:frame="0"/>
            </w:tcBorders>
          </w:tcPr>
          <w:p>
            <w:pPr>
              <w:pStyle w:val="P46"/>
              <w:rPr>
                <w:sz w:val="22"/>
              </w:rPr>
            </w:pPr>
            <w:r>
              <w:rPr>
                <w:sz w:val="22"/>
              </w:rPr>
              <w:t>January 20, 2021</w:t>
            </w:r>
          </w:p>
        </w:tc>
        <w:tc>
          <w:tcPr>
            <w:tcW w:w="5683" w:type="dxa"/>
            <w:tcBorders>
              <w:top w:val="single" w:sz="4" w:space="0" w:shadow="0" w:frame="0"/>
              <w:left w:val="single" w:sz="4" w:space="0" w:shadow="0" w:frame="0"/>
              <w:bottom w:val="single" w:sz="4" w:space="0" w:shadow="0" w:frame="0"/>
              <w:right w:val="double" w:sz="6" w:space="0" w:shadow="0" w:frame="0"/>
            </w:tcBorders>
          </w:tcPr>
          <w:p>
            <w:pPr>
              <w:pStyle w:val="P46"/>
              <w:rPr>
                <w:sz w:val="22"/>
              </w:rPr>
            </w:pPr>
            <w:r>
              <w:rPr>
                <w:sz w:val="22"/>
              </w:rPr>
              <w:t>Added reference to Section 01741 – Site Maintenance (BM)</w:t>
            </w:r>
          </w:p>
        </w:tc>
      </w:tr>
      <w:tr>
        <w:trPr>
          <w:cantSplit/>
          <w:jc w:val="center"/>
        </w:trPr>
        <w:tc>
          <w:tcPr>
            <w:tcW w:w="1004" w:type="dxa"/>
            <w:tcBorders>
              <w:top w:val="single" w:sz="4" w:space="0" w:shadow="0" w:frame="0"/>
              <w:left w:val="double" w:sz="6" w:space="0" w:shadow="0" w:frame="0"/>
              <w:bottom w:val="single" w:sz="4" w:space="0" w:shadow="0" w:frame="0"/>
              <w:right w:val="single" w:sz="4" w:space="0" w:shadow="0" w:frame="0"/>
            </w:tcBorders>
          </w:tcPr>
          <w:p>
            <w:pPr>
              <w:pStyle w:val="P46"/>
              <w:rPr>
                <w:sz w:val="22"/>
              </w:rPr>
            </w:pPr>
            <w:r>
              <w:rPr>
                <w:sz w:val="22"/>
              </w:rPr>
              <w:t>3</w:t>
            </w:r>
          </w:p>
        </w:tc>
        <w:tc>
          <w:tcPr>
            <w:tcW w:w="2160" w:type="dxa"/>
            <w:tcBorders>
              <w:top w:val="single" w:sz="4" w:space="0" w:shadow="0" w:frame="0"/>
              <w:left w:val="single" w:sz="4" w:space="0" w:shadow="0" w:frame="0"/>
              <w:bottom w:val="single" w:sz="4" w:space="0" w:shadow="0" w:frame="0"/>
              <w:right w:val="single" w:sz="4" w:space="0" w:shadow="0" w:frame="0"/>
            </w:tcBorders>
          </w:tcPr>
          <w:p>
            <w:pPr>
              <w:pStyle w:val="P46"/>
              <w:rPr>
                <w:sz w:val="22"/>
              </w:rPr>
            </w:pPr>
            <w:r>
              <w:rPr>
                <w:sz w:val="22"/>
              </w:rPr>
              <w:t>November 25, 2021</w:t>
            </w:r>
          </w:p>
        </w:tc>
        <w:tc>
          <w:tcPr>
            <w:tcW w:w="5683" w:type="dxa"/>
            <w:tcBorders>
              <w:top w:val="single" w:sz="4" w:space="0" w:shadow="0" w:frame="0"/>
              <w:left w:val="single" w:sz="4" w:space="0" w:shadow="0" w:frame="0"/>
              <w:bottom w:val="single" w:sz="4" w:space="0" w:shadow="0" w:frame="0"/>
              <w:right w:val="double" w:sz="6" w:space="0" w:shadow="0" w:frame="0"/>
            </w:tcBorders>
          </w:tcPr>
          <w:p>
            <w:pPr>
              <w:pStyle w:val="P46"/>
              <w:rPr>
                <w:sz w:val="22"/>
              </w:rPr>
            </w:pPr>
            <w:r>
              <w:rPr>
                <w:sz w:val="22"/>
              </w:rPr>
              <w:t>3.16 Added section for paid duty police officers</w:t>
            </w:r>
          </w:p>
          <w:p>
            <w:pPr>
              <w:pStyle w:val="P46"/>
              <w:rPr>
                <w:sz w:val="22"/>
              </w:rPr>
            </w:pPr>
            <w:r>
              <w:rPr>
                <w:sz w:val="22"/>
              </w:rPr>
              <w:t>3.13 Added reference to Section 02362 for dust control (BM)</w:t>
            </w:r>
          </w:p>
        </w:tc>
      </w:tr>
      <w:tr>
        <w:trPr>
          <w:cantSplit/>
          <w:jc w:val="center"/>
        </w:trPr>
        <w:tc>
          <w:tcPr>
            <w:tcW w:w="1004" w:type="dxa"/>
            <w:tcBorders>
              <w:top w:val="single" w:sz="4" w:space="0" w:shadow="0" w:frame="0"/>
              <w:left w:val="double" w:sz="6" w:space="0" w:shadow="0" w:frame="0"/>
              <w:bottom w:val="double" w:sz="6" w:space="0" w:shadow="0" w:frame="0"/>
              <w:right w:val="single" w:sz="4" w:space="0" w:shadow="0" w:frame="0"/>
            </w:tcBorders>
          </w:tcPr>
          <w:p>
            <w:pPr>
              <w:pStyle w:val="P46"/>
              <w:rPr>
                <w:sz w:val="22"/>
              </w:rPr>
            </w:pPr>
            <w:r>
              <w:rPr>
                <w:sz w:val="22"/>
              </w:rPr>
              <w:t>4</w:t>
            </w:r>
          </w:p>
        </w:tc>
        <w:tc>
          <w:tcPr>
            <w:tcW w:w="2160" w:type="dxa"/>
            <w:tcBorders>
              <w:top w:val="single" w:sz="4" w:space="0" w:shadow="0" w:frame="0"/>
              <w:left w:val="single" w:sz="4" w:space="0" w:shadow="0" w:frame="0"/>
              <w:bottom w:val="double" w:sz="6" w:space="0" w:shadow="0" w:frame="0"/>
              <w:right w:val="single" w:sz="4" w:space="0" w:shadow="0" w:frame="0"/>
            </w:tcBorders>
          </w:tcPr>
          <w:p>
            <w:pPr>
              <w:pStyle w:val="P46"/>
              <w:rPr>
                <w:sz w:val="22"/>
              </w:rPr>
            </w:pPr>
            <w:r>
              <w:rPr>
                <w:sz w:val="22"/>
              </w:rPr>
              <w:t>August 11, 2022</w:t>
            </w:r>
          </w:p>
        </w:tc>
        <w:tc>
          <w:tcPr>
            <w:tcW w:w="5683" w:type="dxa"/>
            <w:tcBorders>
              <w:top w:val="single" w:sz="4" w:space="0" w:shadow="0" w:frame="0"/>
              <w:left w:val="single" w:sz="4" w:space="0" w:shadow="0" w:frame="0"/>
              <w:bottom w:val="double" w:sz="6" w:space="0" w:shadow="0" w:frame="0"/>
              <w:right w:val="double" w:sz="6" w:space="0" w:shadow="0" w:frame="0"/>
            </w:tcBorders>
          </w:tcPr>
          <w:p>
            <w:pPr>
              <w:pStyle w:val="P46"/>
              <w:rPr>
                <w:sz w:val="22"/>
              </w:rPr>
            </w:pPr>
            <w:r>
              <w:rPr>
                <w:sz w:val="22"/>
              </w:rPr>
              <w:t>3.16 Revised markup for PDO (BM)</w:t>
            </w:r>
          </w:p>
        </w:tc>
      </w:tr>
    </w:tbl>
    <w:p/>
    <w:p>
      <w:pPr>
        <w:pStyle w:val="P1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pPr>
        <w:pStyle w:val="P10"/>
      </w:pPr>
      <w:r>
        <w:br w:type="page"/>
      </w:r>
    </w:p>
    <w:p>
      <w:pPr>
        <w:pStyle w:val="P1"/>
      </w:pPr>
      <w:r>
        <w:t>GENERAL</w:t>
      </w:r>
    </w:p>
    <w:p>
      <w:pPr>
        <w:pStyle w:val="P2"/>
      </w:pPr>
      <w:r>
        <w:t>Scope</w:t>
      </w:r>
    </w:p>
    <w:p>
      <w:pPr>
        <w:pStyle w:val="P3"/>
      </w:pPr>
      <w:r>
        <w:t xml:space="preserve">This item includes managing traffic during construction, the maintenance of access on the roads, maintaining access to businesses for vehicles and pedestrians, and carrying out other activities as specified in the Contract Documents and as required in connection with this traffic management. </w:t>
      </w:r>
    </w:p>
    <w:p>
      <w:pPr>
        <w:pStyle w:val="P2"/>
      </w:pPr>
      <w:r>
        <w:t>Related Sections</w:t>
      </w:r>
    </w:p>
    <w:p>
      <w:pPr>
        <w:pStyle w:val="P3"/>
        <w:numPr>
          <w:ilvl w:val="2"/>
          <w:numId w:val="0"/>
        </w:numPr>
        <w:ind w:firstLine="0" w:left="720"/>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Contractor is responsible for coordination of the Work.</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pPr>
      <w:r>
        <w:rPr>
          <w:highlight w:val="yellow"/>
        </w:rPr>
        <w:t>[List Sections specifying related requirements.]</w:t>
      </w:r>
    </w:p>
    <w:p>
      <w:pPr>
        <w:pStyle w:val="P3"/>
      </w:pPr>
      <w:r>
        <w:t xml:space="preserve">Section </w:t>
      </w:r>
      <w:r>
        <w:rPr>
          <w:highlight w:val="yellow"/>
        </w:rPr>
        <w:t>[______ – ____________]</w:t>
      </w:r>
      <w:r>
        <w:t xml:space="preserve">:  </w:t>
      </w:r>
      <w:r>
        <w:rPr>
          <w:highlight w:val="yellow"/>
        </w:rPr>
        <w:t>[Optional short phrase indicating relationship]</w:t>
      </w:r>
      <w:r>
        <w:t>.</w:t>
      </w:r>
    </w:p>
    <w:p>
      <w:pPr>
        <w:pStyle w:val="P4"/>
      </w:pPr>
      <w:r>
        <w:t>Sections:</w:t>
      </w:r>
    </w:p>
    <w:p>
      <w:pPr>
        <w:pStyle w:val="P5"/>
        <w:rPr>
          <w:sz w:val="22"/>
          <w:highlight w:val="yellow"/>
        </w:rPr>
      </w:pPr>
      <w:r>
        <w:rPr>
          <w:sz w:val="22"/>
          <w:highlight w:val="yellow"/>
        </w:rPr>
        <w:t>Section 01040 – Coordination</w:t>
      </w:r>
    </w:p>
    <w:p>
      <w:pPr>
        <w:pStyle w:val="P5"/>
        <w:rPr>
          <w:sz w:val="22"/>
          <w:highlight w:val="yellow"/>
        </w:rPr>
      </w:pPr>
      <w:r>
        <w:rPr>
          <w:sz w:val="22"/>
          <w:highlight w:val="yellow"/>
        </w:rPr>
        <w:t>Section 01060 – Regulatory Requirements</w:t>
      </w:r>
    </w:p>
    <w:p>
      <w:pPr>
        <w:pStyle w:val="P5"/>
        <w:rPr>
          <w:sz w:val="22"/>
          <w:highlight w:val="yellow"/>
        </w:rPr>
      </w:pPr>
      <w:r>
        <w:rPr>
          <w:sz w:val="22"/>
          <w:highlight w:val="yellow"/>
        </w:rPr>
        <w:t>Section 01351 – Health and Safety</w:t>
      </w:r>
    </w:p>
    <w:p>
      <w:pPr>
        <w:pStyle w:val="P5"/>
        <w:rPr>
          <w:sz w:val="22"/>
          <w:highlight w:val="yellow"/>
        </w:rPr>
      </w:pPr>
      <w:r>
        <w:rPr>
          <w:sz w:val="22"/>
          <w:highlight w:val="yellow"/>
        </w:rPr>
        <w:t xml:space="preserve">Section 01741 – Site Maintenance </w:t>
      </w:r>
    </w:p>
    <w:p>
      <w:pPr>
        <w:pStyle w:val="P5"/>
        <w:rPr>
          <w:sz w:val="22"/>
          <w:highlight w:val="yellow"/>
        </w:rPr>
      </w:pPr>
      <w:r>
        <w:rPr>
          <w:sz w:val="22"/>
          <w:highlight w:val="yellow"/>
        </w:rPr>
        <w:t xml:space="preserve">Section 02362 – Dust Control </w:t>
      </w:r>
    </w:p>
    <w:p>
      <w:pPr>
        <w:pStyle w:val="P5"/>
        <w:rPr>
          <w:sz w:val="22"/>
          <w:highlight w:val="yellow"/>
        </w:rPr>
      </w:pPr>
      <w:r>
        <w:rPr>
          <w:sz w:val="22"/>
          <w:highlight w:val="yellow"/>
        </w:rPr>
        <w:t>Section 02821 – Chain Link Fence and Gates</w:t>
      </w:r>
    </w:p>
    <w:p>
      <w:pPr>
        <w:pStyle w:val="P2"/>
      </w:pPr>
      <w:r>
        <w:t>References</w:t>
      </w:r>
    </w:p>
    <w:p>
      <w:pPr>
        <w:pStyle w:val="P3"/>
      </w:pPr>
      <w:r>
        <w:t>The following is a list of standards which may be referenced in this Section:</w:t>
      </w:r>
    </w:p>
    <w:p>
      <w:pPr>
        <w:pStyle w:val="P4"/>
      </w:pPr>
      <w:r>
        <w:t>Manual of Uniform Traffic Control Devices (MUTCD)</w:t>
      </w:r>
    </w:p>
    <w:p>
      <w:pPr>
        <w:pStyle w:val="P5"/>
        <w:rPr>
          <w:sz w:val="22"/>
        </w:rPr>
      </w:pPr>
      <w:r>
        <w:rPr>
          <w:sz w:val="22"/>
        </w:rPr>
        <w:t>2009 MUTCD (with Revisions 1 and 2 May 2012)</w:t>
      </w:r>
    </w:p>
    <w:p>
      <w:pPr>
        <w:pStyle w:val="P4"/>
      </w:pPr>
      <w:r>
        <w:t>Occupational Health and Safety Act and Regulations for Construction Projects O. Reg. 213/91 and amendments</w:t>
      </w:r>
    </w:p>
    <w:p>
      <w:pPr>
        <w:pStyle w:val="P4"/>
      </w:pPr>
      <w:r>
        <w:t>Occupational Health and Safety Act as amended.</w:t>
      </w:r>
    </w:p>
    <w:p>
      <w:pPr>
        <w:pStyle w:val="P4"/>
      </w:pPr>
      <w:r>
        <w:t>Ontario Provincial Standard Specifications (OPSS)</w:t>
      </w:r>
    </w:p>
    <w:p>
      <w:pPr>
        <w:pStyle w:val="P5"/>
        <w:rPr>
          <w:sz w:val="22"/>
        </w:rPr>
      </w:pPr>
      <w:r>
        <w:rPr>
          <w:sz w:val="22"/>
        </w:rPr>
        <w:t>OPSS.MUNI 706 Temporary Traffic Control Devices (April 2018)</w:t>
      </w:r>
    </w:p>
    <w:p>
      <w:pPr>
        <w:pStyle w:val="P4"/>
      </w:pPr>
      <w:r>
        <w:t>Ontario Traffic Manual, Book 7 – Temporary Conditions, January, 2014.</w:t>
      </w:r>
    </w:p>
    <w:p>
      <w:pPr>
        <w:pStyle w:val="P4"/>
      </w:pPr>
      <w:r>
        <w:t>Region of York’s “Health and Safety Contractor Program and Safety Guidelines”</w:t>
      </w:r>
    </w:p>
    <w:p>
      <w:pPr>
        <w:pStyle w:val="P2"/>
      </w:pPr>
      <w:r>
        <w:t>Measurement and Payment</w:t>
      </w:r>
    </w:p>
    <w:p>
      <w:pPr>
        <w:pStyle w:val="P3"/>
        <w:numPr>
          <w:ilvl w:val="2"/>
          <w:numId w:val="20"/>
        </w:numPr>
        <w:tabs>
          <w:tab w:val="clear" w:pos="1350" w:leader="none"/>
          <w:tab w:val="left" w:pos="1440" w:leader="none"/>
        </w:tabs>
        <w:ind w:left="1440"/>
        <w:contextualSpacing w:val="0"/>
      </w:pPr>
      <w:r>
        <w:t xml:space="preserve">All costs associated with the Work in this section, other than the cost for the paid duty police, shall be included in the lump sum price for Item No. </w:t>
      </w:r>
      <w:r>
        <w:rPr>
          <w:highlight w:val="yellow"/>
        </w:rPr>
        <w:t xml:space="preserve">[  ]</w:t>
      </w:r>
      <w:r>
        <w:t xml:space="preserve"> in the Bid Form.</w:t>
      </w:r>
    </w:p>
    <w:p>
      <w:pPr>
        <w:pStyle w:val="P3"/>
      </w:pPr>
      <w:r>
        <w:t xml:space="preserve">The lump sum price shall include the cost of all labour and equipment to perform the work. </w:t>
      </w:r>
    </w:p>
    <w:p>
      <w:pPr>
        <w:pStyle w:val="P3"/>
      </w:pPr>
      <w:r>
        <w:t xml:space="preserve">Paid duty police shall be required as per Section 3.16 and shall be paid for separately under the Cash Allowance in Item No. </w:t>
      </w:r>
      <w:r>
        <w:rPr>
          <w:highlight w:val="yellow"/>
        </w:rPr>
        <w:t xml:space="preserve">[  ]</w:t>
      </w:r>
      <w:r>
        <w:t xml:space="preserve"> in the Bid Form.</w:t>
      </w:r>
    </w:p>
    <w:p>
      <w:pPr>
        <w:pStyle w:val="P2"/>
      </w:pPr>
      <w:r>
        <w:t>Submittals</w:t>
      </w:r>
    </w:p>
    <w:p>
      <w:pPr>
        <w:pStyle w:val="P3"/>
      </w:pPr>
      <w:r>
        <w:t>Comprehensive Vehicular and Pedestrian Traffic Management Plan (CVPTMP)</w:t>
      </w:r>
    </w:p>
    <w:p>
      <w:pPr>
        <w:pStyle w:val="P4"/>
      </w:pPr>
      <w:r>
        <w:t xml:space="preserve">The Contractor shall prepare a CVPTMP in accordance with “Ontario Traffic Manual: Book 7, Temporary Conditions” (OTM Book 7), Occupational Health and Safety Act and the Region’s requirements.  </w:t>
      </w:r>
    </w:p>
    <w:p>
      <w:pPr>
        <w:pStyle w:val="P4"/>
      </w:pPr>
      <w:r>
        <w:t xml:space="preserve">Proper traffic control shall be maintained at all times during construction.  The CVPTMP shall be submitted to the Consultant, the local municipality and the Region, for their approval, a minimum of fourteen (14) Days prior to the commencement of construction. </w:t>
      </w:r>
    </w:p>
    <w:p>
      <w:pPr>
        <w:pStyle w:val="P4"/>
      </w:pPr>
      <w:r>
        <w:t xml:space="preserve">No construction will be allowed to proceed until the Region has approved the CVPTMP.  </w:t>
      </w:r>
    </w:p>
    <w:p>
      <w:pPr>
        <w:pStyle w:val="P4"/>
      </w:pPr>
      <w:r>
        <w:t>The CVPTMP is to be submitted as part of the Region's Road Occupancy Permit (ROP) Application. </w:t>
      </w:r>
    </w:p>
    <w:p>
      <w:pPr>
        <w:pStyle w:val="P3"/>
      </w:pPr>
      <w:r>
        <w:t>The CVPTMP shall address and provide for the following issues and requirements:</w:t>
      </w:r>
    </w:p>
    <w:p>
      <w:pPr>
        <w:pStyle w:val="P4"/>
        <w:rPr>
          <w:u w:val="single"/>
        </w:rPr>
      </w:pPr>
      <w:r>
        <w:rPr>
          <w:u w:val="single"/>
        </w:rPr>
        <w:t>Specific Traffic Requirements</w:t>
      </w:r>
    </w:p>
    <w:p>
      <w:pPr>
        <w:pStyle w:val="P5"/>
        <w:rPr>
          <w:i w:val="1"/>
          <w:sz w:val="22"/>
          <w:highlight w:val="yellow"/>
        </w:rPr>
      </w:pPr>
      <w:r>
        <w:rPr>
          <w:i w:val="1"/>
          <w:sz w:val="22"/>
          <w:highlight w:val="yellow"/>
        </w:rPr>
        <w:t>[Consultant to list phasing of construction and detail temporary lane closures]</w:t>
      </w:r>
    </w:p>
    <w:p>
      <w:pPr>
        <w:pStyle w:val="P5"/>
        <w:rPr>
          <w:i w:val="1"/>
          <w:sz w:val="22"/>
          <w:highlight w:val="yellow"/>
        </w:rPr>
      </w:pPr>
      <w:r>
        <w:rPr>
          <w:i w:val="1"/>
          <w:sz w:val="22"/>
          <w:highlight w:val="yellow"/>
        </w:rPr>
        <w:t>[Consultant to list hours of work and specific work (i.e road crossings) to be done over weekends.]</w:t>
      </w:r>
    </w:p>
    <w:p>
      <w:pPr>
        <w:pStyle w:val="P5"/>
        <w:rPr>
          <w:sz w:val="22"/>
          <w:lang w:val="en-CA"/>
        </w:rPr>
      </w:pPr>
      <w:r>
        <w:rPr>
          <w:sz w:val="22"/>
          <w:lang w:val="en-CA"/>
        </w:rPr>
        <w:t xml:space="preserve">NOTE: Although the Region has applied for noise bylaw exemptions to the </w:t>
      </w:r>
      <w:r>
        <w:rPr>
          <w:i w:val="1"/>
          <w:sz w:val="22"/>
          <w:highlight w:val="yellow"/>
          <w:lang w:val="en-CA"/>
        </w:rPr>
        <w:t>[Consultant to list Local Area Municipality],</w:t>
      </w:r>
      <w:r>
        <w:rPr>
          <w:sz w:val="22"/>
          <w:lang w:val="en-CA"/>
        </w:rPr>
        <w:t xml:space="preserve"> the Contractor shall be responsible for providing the </w:t>
      </w:r>
      <w:r>
        <w:rPr>
          <w:sz w:val="22"/>
        </w:rPr>
        <w:t>exact dates to these Local Municipalities for the permits to be executed for any overnight works between 7:00pm and 7:00am and any weekend works between 7:00pm on Friday and 7:00 am on Monday.</w:t>
      </w:r>
    </w:p>
    <w:p>
      <w:pPr>
        <w:pStyle w:val="P5"/>
        <w:rPr>
          <w:sz w:val="22"/>
          <w:lang w:val="en-CA"/>
        </w:rPr>
      </w:pPr>
      <w:r>
        <w:rPr>
          <w:sz w:val="22"/>
          <w:lang w:val="en-CA"/>
        </w:rPr>
        <w:t xml:space="preserve">During weekdays, the Contractor shall ensure that all lanes are open and that current traffic flows are maintained. This shall be achieved by covering any open excavations with a single layer or double layer of 25mm thick (minimum) steel plates or an approved equivalent capable of supporting current traffic loads (to be designed/confirmed by the Contractor). During construction on weekends, a minimum of </w:t>
      </w:r>
      <w:r>
        <w:rPr>
          <w:sz w:val="22"/>
          <w:highlight w:val="yellow"/>
          <w:lang w:val="en-CA"/>
        </w:rPr>
        <w:t xml:space="preserve">[  ]</w:t>
      </w:r>
      <w:r>
        <w:rPr>
          <w:sz w:val="22"/>
          <w:lang w:val="en-CA"/>
        </w:rPr>
        <w:t xml:space="preserve"> lanes will remain open and a detailed traffic staging plan will be required to shift traffic over to the undisturbed portion of the roadway.</w:t>
      </w:r>
    </w:p>
    <w:p>
      <w:pPr>
        <w:pStyle w:val="P4"/>
        <w:rPr>
          <w:u w:val="single"/>
        </w:rPr>
      </w:pPr>
      <w:r>
        <w:rPr>
          <w:u w:val="single"/>
        </w:rPr>
        <w:t>Drawings</w:t>
      </w:r>
    </w:p>
    <w:p>
      <w:pPr>
        <w:pStyle w:val="P5"/>
        <w:rPr>
          <w:sz w:val="22"/>
        </w:rPr>
      </w:pPr>
      <w:r>
        <w:rPr>
          <w:sz w:val="22"/>
        </w:rPr>
        <w:t xml:space="preserve">The CVPTMP shall include drawings and sketches as necessary to adequately describe all phases of construction in the various locations of the Contract. </w:t>
      </w:r>
    </w:p>
    <w:p>
      <w:pPr>
        <w:pStyle w:val="P5"/>
        <w:rPr>
          <w:sz w:val="22"/>
        </w:rPr>
      </w:pPr>
      <w:r>
        <w:rPr>
          <w:sz w:val="22"/>
        </w:rPr>
        <w:t>Drawings and sketches shall include all signage, taper locations and lengths, temporary bus stop locations, temporary signals, line painting, barricades, pedestrian safety measures, anticipated police control through signalized intersection, and dimensions necessary to clearly show the full intent of the details.</w:t>
      </w:r>
    </w:p>
    <w:p>
      <w:pPr>
        <w:pStyle w:val="P4"/>
        <w:rPr>
          <w:u w:val="single"/>
        </w:rPr>
      </w:pPr>
      <w:r>
        <w:rPr>
          <w:u w:val="single"/>
        </w:rPr>
        <w:t>Access to Driveways</w:t>
      </w:r>
    </w:p>
    <w:p>
      <w:pPr>
        <w:pStyle w:val="P5"/>
        <w:rPr>
          <w:sz w:val="22"/>
        </w:rPr>
      </w:pPr>
      <w:r>
        <w:rPr>
          <w:sz w:val="22"/>
        </w:rPr>
        <w:t xml:space="preserve">The CVPTMP shall show typical details of how access to existing driveways will be maintained at all times for normal and emergency vehicle access. </w:t>
      </w:r>
    </w:p>
    <w:p>
      <w:pPr>
        <w:pStyle w:val="P5"/>
        <w:rPr>
          <w:sz w:val="22"/>
        </w:rPr>
      </w:pPr>
      <w:r>
        <w:rPr>
          <w:sz w:val="22"/>
        </w:rPr>
        <w:t xml:space="preserve">This shall include the provision of temporary driveways where necessary. </w:t>
      </w:r>
    </w:p>
    <w:p>
      <w:pPr>
        <w:pStyle w:val="P5"/>
        <w:rPr>
          <w:sz w:val="22"/>
        </w:rPr>
      </w:pPr>
      <w:r>
        <w:rPr>
          <w:sz w:val="22"/>
        </w:rPr>
        <w:t xml:space="preserve">Where full access to properties cannot be provided, the Contractor shall obtain and submit to the Region written agreements thereof from the property owners. </w:t>
      </w:r>
    </w:p>
    <w:p>
      <w:pPr>
        <w:pStyle w:val="P5"/>
        <w:rPr>
          <w:sz w:val="22"/>
        </w:rPr>
      </w:pPr>
      <w:r>
        <w:rPr>
          <w:sz w:val="22"/>
        </w:rPr>
        <w:t>Any temporary driveway closures shall also be communicated to the affected businesses and/or residents a minimum of 7 Days prior to disruption.</w:t>
      </w:r>
    </w:p>
    <w:p>
      <w:pPr>
        <w:pStyle w:val="P4"/>
        <w:rPr>
          <w:u w:val="single"/>
        </w:rPr>
      </w:pPr>
      <w:r>
        <w:rPr>
          <w:u w:val="single"/>
        </w:rPr>
        <w:t>Temporary Traffic Signals</w:t>
      </w:r>
    </w:p>
    <w:p>
      <w:pPr>
        <w:pStyle w:val="P5"/>
        <w:rPr>
          <w:i w:val="1"/>
          <w:sz w:val="22"/>
          <w:highlight w:val="yellow"/>
        </w:rPr>
      </w:pPr>
      <w:r>
        <w:rPr>
          <w:sz w:val="22"/>
          <w:highlight w:val="yellow"/>
        </w:rPr>
        <w:t>[</w:t>
      </w:r>
      <w:r>
        <w:rPr>
          <w:i w:val="1"/>
          <w:sz w:val="22"/>
          <w:highlight w:val="yellow"/>
        </w:rPr>
        <w:t>Consultant to detail any temporary traffic signal control requirements]</w:t>
      </w:r>
    </w:p>
    <w:p>
      <w:pPr>
        <w:pStyle w:val="P3"/>
      </w:pPr>
      <w:r>
        <w:t>Road Occupancy Permit (ROP)</w:t>
      </w:r>
    </w:p>
    <w:p>
      <w:pPr>
        <w:pStyle w:val="P4"/>
      </w:pPr>
      <w:r>
        <w:t xml:space="preserve">A Road Occupancy Permit (ROP) is required for all works taking place on the Regional road allowance.  Information and application forms can be obtained from our website at </w:t>
      </w:r>
      <w:r>
        <w:fldChar w:fldCharType="begin"/>
      </w:r>
      <w:r>
        <w:instrText>HYPERLINK "file:///C:/Users/mcginnisae/Desktop/Specs%20update%20March%202016/www.york.ca"</w:instrText>
      </w:r>
      <w:r>
        <w:fldChar w:fldCharType="separate"/>
      </w:r>
      <w:r>
        <w:rPr>
          <w:rStyle w:val="C2"/>
        </w:rPr>
        <w:t>www.york.ca</w:t>
      </w:r>
      <w:r>
        <w:rPr>
          <w:rStyle w:val="C2"/>
        </w:rPr>
        <w:fldChar w:fldCharType="end"/>
      </w:r>
      <w:r>
        <w:rPr>
          <w:color w:val="0000FF"/>
        </w:rPr>
        <w:t>/roadpermits</w:t>
      </w:r>
      <w:r>
        <w:t xml:space="preserve">.  The Contractor shall complete the application form and submit the complete package to </w:t>
      </w:r>
      <w:r>
        <w:fldChar w:fldCharType="begin"/>
      </w:r>
      <w:r>
        <w:instrText>HYPERLINK "mailto:permits@york.ca"</w:instrText>
      </w:r>
      <w:r>
        <w:fldChar w:fldCharType="separate"/>
      </w:r>
      <w:r>
        <w:rPr>
          <w:rStyle w:val="C2"/>
        </w:rPr>
        <w:t>permits@york.ca</w:t>
      </w:r>
      <w:r>
        <w:rPr>
          <w:rStyle w:val="C2"/>
        </w:rPr>
        <w:fldChar w:fldCharType="end"/>
      </w:r>
      <w:r>
        <w:t>.</w:t>
      </w:r>
    </w:p>
    <w:p>
      <w:pPr>
        <w:pStyle w:val="P1"/>
      </w:pPr>
      <w:r>
        <w:t>PRODUCTS (NOT USED)</w:t>
      </w:r>
    </w:p>
    <w:p>
      <w:pPr>
        <w:pStyle w:val="P1"/>
      </w:pPr>
      <w:r>
        <w:t>EXECUTION</w:t>
      </w:r>
    </w:p>
    <w:p>
      <w:pPr>
        <w:pStyle w:val="P2"/>
      </w:pPr>
      <w:r>
        <w:t>General</w:t>
      </w:r>
    </w:p>
    <w:p>
      <w:pPr>
        <w:pStyle w:val="P3"/>
      </w:pPr>
      <w:r>
        <w:t xml:space="preserve">No Work is to be carried out within the Regional right of way (ROW) until the CVPTMP has been approved by all parties and a ROP has been obtained. </w:t>
      </w:r>
    </w:p>
    <w:p>
      <w:pPr>
        <w:pStyle w:val="P3"/>
      </w:pPr>
      <w:r>
        <w:t xml:space="preserve">Any delays or any additional costs resulting from the CVPTMP approval process (including any revisions required in order to meet the approval of the Local Municipalities, the Consultant and the Region) and/or the ROP approval process, shall be the Contractor’s responsibility.  </w:t>
      </w:r>
    </w:p>
    <w:p>
      <w:pPr>
        <w:pStyle w:val="P3"/>
      </w:pPr>
      <w:r>
        <w:t>The Contractor shall keep a copy of the approved CVPTMP and ROP at the Site at all times.</w:t>
      </w:r>
    </w:p>
    <w:p>
      <w:pPr>
        <w:pStyle w:val="P3"/>
      </w:pPr>
      <w:r>
        <w:t xml:space="preserve">If, in the opinion of the Consultant or Region, proper traffic control is not maintained at any time during the course of the Contract, the Contractor shall immediately modify its operations to the satisfaction of the Consultant at no additional cost.  </w:t>
      </w:r>
    </w:p>
    <w:p>
      <w:pPr>
        <w:pStyle w:val="P3"/>
      </w:pPr>
      <w:r>
        <w:t>The Construction Staging Drawings (Traffic Management Plan) provided as part of the Contract Drawings have been prepared to act as guidelines to the Contractor in the preparation of the CVPTMP, and are considered to be minimum requirements. The Contractor’s CVPTMP shall use these Construction Staging Drawings as a basis of preparing their full and comprehensive CVPTMP.</w:t>
      </w:r>
    </w:p>
    <w:p>
      <w:pPr>
        <w:pStyle w:val="P3"/>
      </w:pPr>
      <w:r>
        <w:t>Comply with all applicable laws and regulations regarding closing or restricting the use of public streets or highways. No public or private road shall be closed, except with the prior written permission of the proper road authority. Ensure the minimum possible obstruction to traffic and the minimum amount of interference with normal business operations in the vicinity of the Work.</w:t>
      </w:r>
    </w:p>
    <w:p>
      <w:pPr>
        <w:pStyle w:val="P3"/>
      </w:pPr>
      <w:r>
        <w:t>Conduct the Work in a way that minimizes interference with public travel, whether vehicular or pedestrian.</w:t>
      </w:r>
    </w:p>
    <w:p>
      <w:pPr>
        <w:pStyle w:val="P3"/>
      </w:pPr>
      <w:r>
        <w:t>In making street crossings, do not block more than one half of the street at a time. Whenever possible, widen the shoulder on the opposite side in order to facilitate traffic flow. Provide temporary surfacing on shoulders as necessary.</w:t>
      </w:r>
    </w:p>
    <w:p>
      <w:pPr>
        <w:pStyle w:val="P3"/>
      </w:pPr>
      <w:r>
        <w:t>Maintain the top of backfilled trenches before they are paved in order to allow normal vehicular traffic to pass over. Provide temporary access driveways where required. Cleanup operations shall follow immediately behind backfilling.</w:t>
      </w:r>
    </w:p>
    <w:p>
      <w:pPr>
        <w:pStyle w:val="P3"/>
      </w:pPr>
      <w:r>
        <w:t>When traffic control persons are required by regulation or when deemed necessary in order to ensure public safety, furnish traffic control persons with approved apparel and other regulation traffic control devices as may be required.</w:t>
      </w:r>
    </w:p>
    <w:p>
      <w:pPr>
        <w:pStyle w:val="P3"/>
      </w:pPr>
      <w:r>
        <w:t>Coordinate traffic routing with that of Other Contractors and the staff of the Region and/or the Local Municipalities working in the same or in adjacent areas.</w:t>
      </w:r>
    </w:p>
    <w:p>
      <w:pPr>
        <w:pStyle w:val="P2"/>
      </w:pPr>
      <w:r>
        <w:t xml:space="preserve">Accommodation of Pedestrians </w:t>
      </w:r>
    </w:p>
    <w:p>
      <w:pPr>
        <w:pStyle w:val="P3"/>
      </w:pPr>
      <w:r>
        <w:t xml:space="preserve">Where temporary sidewalk closures are proposed, ample signage shall be installed on both sides of the closure to instruct pedestrians to cross the road and use the adjacent sidewalk. </w:t>
      </w:r>
    </w:p>
    <w:p>
      <w:pPr>
        <w:pStyle w:val="P3"/>
      </w:pPr>
      <w:r>
        <w:t xml:space="preserve">A minimum of one lane of sidewalk within the right-of-way must remain accessible and open to pedestrian traffic at all times. </w:t>
      </w:r>
    </w:p>
    <w:p>
      <w:pPr>
        <w:pStyle w:val="P3"/>
      </w:pPr>
      <w:r>
        <w:t>If an adjacent sidewalk does not exist or is not available, temporary sidewalks shall be installed at no additional cost to divert pedestrian traffic around construction.</w:t>
      </w:r>
    </w:p>
    <w:p>
      <w:pPr>
        <w:pStyle w:val="P2"/>
      </w:pPr>
      <w:r>
        <w:t>Public Transit</w:t>
      </w:r>
    </w:p>
    <w:p>
      <w:pPr>
        <w:pStyle w:val="P3"/>
      </w:pPr>
      <w:r>
        <w:t xml:space="preserve">All construction areas along </w:t>
      </w:r>
      <w:r>
        <w:rPr>
          <w:i w:val="1"/>
          <w:highlight w:val="yellow"/>
        </w:rPr>
        <w:t>[Consultant to list roads]</w:t>
      </w:r>
      <w:r>
        <w:t xml:space="preserve"> are within York Region Transit (YRT) and VIVA bus routes. </w:t>
      </w:r>
    </w:p>
    <w:p>
      <w:pPr>
        <w:pStyle w:val="P3"/>
      </w:pPr>
      <w:r>
        <w:t xml:space="preserve">The Contractor must coordinate with, and accommodate all public transit and temporarily relocate existing bus stops that are impacted by construction works. </w:t>
      </w:r>
    </w:p>
    <w:p>
      <w:pPr>
        <w:pStyle w:val="P3"/>
      </w:pPr>
      <w:r>
        <w:t xml:space="preserve">Any temporary transit infrastructure (such as bus shelter) relocations shall be communicated a minimum of 10 Working Days prior to disruption. </w:t>
      </w:r>
    </w:p>
    <w:p>
      <w:pPr>
        <w:pStyle w:val="P3"/>
      </w:pPr>
      <w:r>
        <w:t>Any temporary transit bus stop relocations shall be communicated to the affected Transit authority a minimum of two business days prior to disruption.</w:t>
      </w:r>
    </w:p>
    <w:p>
      <w:pPr>
        <w:pStyle w:val="P2"/>
      </w:pPr>
      <w:r>
        <w:t>School Transit</w:t>
      </w:r>
    </w:p>
    <w:p>
      <w:pPr>
        <w:pStyle w:val="P3"/>
      </w:pPr>
      <w:r>
        <w:t>School transit routes may be located within the limits of this project. These routes may include York Region District School Board (</w:t>
      </w:r>
      <w:r>
        <w:fldChar w:fldCharType="begin"/>
      </w:r>
      <w:r>
        <w:instrText>HYPERLINK "mailto:plant.services@yrdsb.edu.on.ca"</w:instrText>
      </w:r>
      <w:r>
        <w:fldChar w:fldCharType="separate"/>
      </w:r>
      <w:r>
        <w:rPr>
          <w:rStyle w:val="C2"/>
          <w:lang w:val="en-CA"/>
        </w:rPr>
        <w:t>plant.services@yrdsb.edu.on.ca</w:t>
      </w:r>
      <w:r>
        <w:rPr>
          <w:rStyle w:val="C2"/>
          <w:lang w:val="en-CA"/>
        </w:rPr>
        <w:fldChar w:fldCharType="end"/>
      </w:r>
      <w:r>
        <w:t>), York Catholic District School Board and Direction du Service de Transport Francobus (</w:t>
      </w:r>
      <w:r>
        <w:fldChar w:fldCharType="begin"/>
      </w:r>
      <w:r>
        <w:instrText>HYPERLINK "mailto:info@francobus.ca"</w:instrText>
      </w:r>
      <w:r>
        <w:fldChar w:fldCharType="separate"/>
      </w:r>
      <w:r>
        <w:rPr>
          <w:rStyle w:val="C2"/>
          <w:lang w:val="en-CA"/>
        </w:rPr>
        <w:t>info@francobus.ca</w:t>
      </w:r>
      <w:r>
        <w:rPr>
          <w:rStyle w:val="C2"/>
          <w:lang w:val="en-CA"/>
        </w:rPr>
        <w:fldChar w:fldCharType="end"/>
      </w:r>
      <w:r>
        <w:t>).</w:t>
      </w:r>
    </w:p>
    <w:p>
      <w:pPr>
        <w:pStyle w:val="P3"/>
      </w:pPr>
      <w:r>
        <w:t xml:space="preserve">The Contractor must coordinate with, and accommodate all school transit and temporarily relocate existing bus stops that are impacted by construction works. </w:t>
      </w:r>
    </w:p>
    <w:p>
      <w:pPr>
        <w:pStyle w:val="P3"/>
      </w:pPr>
      <w:r>
        <w:t>Any temporary transit bus stop relocations shall be communicated to the affected Transit authority a minimum of two business days prior to disruption.</w:t>
      </w:r>
    </w:p>
    <w:p>
      <w:pPr>
        <w:pStyle w:val="P2"/>
      </w:pPr>
      <w:r>
        <w:t>Notify Emergency Response Services</w:t>
      </w:r>
    </w:p>
    <w:p>
      <w:pPr>
        <w:pStyle w:val="P3"/>
      </w:pPr>
      <w:r>
        <w:t xml:space="preserve">In accordance with OTM Book 7, prior to any temporary lane closures, the Contractor shall notify all emergency response services for the </w:t>
      </w:r>
      <w:r>
        <w:rPr>
          <w:i w:val="1"/>
          <w:highlight w:val="yellow"/>
        </w:rPr>
        <w:t>[Consultant to list local area municipalities],</w:t>
      </w:r>
      <w:r>
        <w:rPr>
          <w:i w:val="1"/>
        </w:rPr>
        <w:t xml:space="preserve"> </w:t>
      </w:r>
      <w:r>
        <w:t>York Region and York Region Police. These services include but are not limited to, police, ambulance, and fire department services.</w:t>
      </w:r>
    </w:p>
    <w:p>
      <w:pPr>
        <w:pStyle w:val="P3"/>
      </w:pPr>
      <w:r>
        <w:t xml:space="preserve">Notify emergency services when the streets are again passable for emergency vehicles. </w:t>
      </w:r>
    </w:p>
    <w:p>
      <w:pPr>
        <w:pStyle w:val="P3"/>
      </w:pPr>
      <w:r>
        <w:t xml:space="preserve">Do not block off emergency vehicle access to consecutive arterial crossings or dead-end streets, in excess of 100 metres, without the prior written permission of the Region and Local Municipality. </w:t>
      </w:r>
    </w:p>
    <w:p>
      <w:pPr>
        <w:pStyle w:val="P3"/>
      </w:pPr>
      <w:r>
        <w:t xml:space="preserve">Conduct operations with the minimum amount of interference to fire equipment access, and at no time shall the Contractor prevent such access. </w:t>
      </w:r>
    </w:p>
    <w:p>
      <w:pPr>
        <w:pStyle w:val="P3"/>
      </w:pPr>
      <w:r>
        <w:t xml:space="preserve">Furnish the Contractor’s night emergency telephone numbers to the relevant emergency </w:t>
      </w:r>
    </w:p>
    <w:p>
      <w:pPr>
        <w:pStyle w:val="P3"/>
        <w:numPr>
          <w:ilvl w:val="2"/>
          <w:numId w:val="0"/>
        </w:numPr>
        <w:ind w:firstLine="0" w:left="1440"/>
      </w:pPr>
      <w:r>
        <w:t>departments.</w:t>
      </w:r>
    </w:p>
    <w:p>
      <w:pPr>
        <w:pStyle w:val="P2"/>
      </w:pPr>
      <w:r>
        <w:t>Mailboxes</w:t>
      </w:r>
    </w:p>
    <w:p>
      <w:pPr>
        <w:pStyle w:val="P3"/>
      </w:pPr>
      <w:r>
        <w:t xml:space="preserve">Move mailboxes to temporary locations approved by the property owner and accessible to postal service.  </w:t>
      </w:r>
    </w:p>
    <w:p>
      <w:pPr>
        <w:pStyle w:val="P3"/>
      </w:pPr>
      <w:r>
        <w:t>Upon completion of the Work in each area, replace the mailboxes to their original location and to a condition equal to or better than their original pre-construction conditions.</w:t>
      </w:r>
    </w:p>
    <w:p>
      <w:pPr>
        <w:pStyle w:val="P2"/>
      </w:pPr>
      <w:r>
        <w:t>Garbage/Recycling/Yard Waste Collection</w:t>
      </w:r>
    </w:p>
    <w:p>
      <w:pPr>
        <w:pStyle w:val="P3"/>
      </w:pPr>
      <w:r>
        <w:t xml:space="preserve">Garbage, recycling, green bin and yard waste collection is administered by the Local Area Municipality (LAM). Notify the LAM in the event of a road closure to make alternative arrangements for pick up. </w:t>
      </w:r>
    </w:p>
    <w:p>
      <w:pPr>
        <w:pStyle w:val="P3"/>
      </w:pPr>
      <w:r>
        <w:t>The Contractor shall be responsible to move receptacles and bags to the alternative pick up area and the return of receptacles to the appropriate owner’s property.</w:t>
      </w:r>
    </w:p>
    <w:p>
      <w:pPr>
        <w:pStyle w:val="P2"/>
      </w:pPr>
      <w:r>
        <w:t xml:space="preserve">Road Closures </w:t>
      </w:r>
    </w:p>
    <w:p>
      <w:pPr>
        <w:pStyle w:val="P3"/>
      </w:pPr>
      <w:r>
        <w:t>Maintain satisfactory means of exit for residents and local businesses along the route of the Work. If it is necessary to close off a roadway or alley providing sole vehicular access to a property for periods greater than two hours, provide written notice to each owner so affected a minimum of three Days prior to such closure. In such cases, closings of up to four hours may be allowed. Closures of up to 10 hours may be allowed if seven Days prior written notice is given and the permission of the Consultant has been obtained in advance.</w:t>
      </w:r>
    </w:p>
    <w:p>
      <w:pPr>
        <w:pStyle w:val="P3"/>
      </w:pPr>
      <w:r>
        <w:t>Maintenance of traffic is not required if the Contractor obtains written permission from the Region and/or Local Municipalities, and the tenant of private property, or from the authority having jurisdiction over the public property involved, to obstruct traffic at a designated point.</w:t>
      </w:r>
    </w:p>
    <w:p>
      <w:pPr>
        <w:pStyle w:val="P2"/>
        <w:rPr>
          <w:u w:val="none"/>
        </w:rPr>
      </w:pPr>
      <w:r>
        <w:t xml:space="preserve">Site Maintenance </w:t>
      </w:r>
    </w:p>
    <w:p>
      <w:pPr>
        <w:pStyle w:val="P3"/>
      </w:pPr>
      <w:r>
        <w:t xml:space="preserve">The Contractor shall be responsible for winter and summer site maintenance in accordance with </w:t>
      </w:r>
      <w:r>
        <w:rPr>
          <w:highlight w:val="yellow"/>
        </w:rPr>
        <w:t>Section 01741 – Site Maintenance</w:t>
      </w:r>
      <w:r>
        <w:t>.</w:t>
      </w:r>
    </w:p>
    <w:p>
      <w:pPr>
        <w:pStyle w:val="P2"/>
      </w:pPr>
      <w:r>
        <w:t>Barricades and Lights</w:t>
      </w:r>
    </w:p>
    <w:p>
      <w:pPr>
        <w:pStyle w:val="P3"/>
      </w:pPr>
      <w:r>
        <w:t>Provide all barricades and lights in accordance with the requirements of the current edition of the Ontario Traffic Manual, Book 7 – Temporary Conditions and in sufficient quantity to safeguard the public and the Work.</w:t>
      </w:r>
    </w:p>
    <w:p>
      <w:pPr>
        <w:pStyle w:val="P3"/>
      </w:pPr>
      <w:r>
        <w:t>Provide, as required by Transport Canada, all barricades and lights to meet regulations and in sufficient quantity to safeguard the public and the Work.</w:t>
      </w:r>
    </w:p>
    <w:p>
      <w:pPr>
        <w:pStyle w:val="P3"/>
      </w:pPr>
      <w:r>
        <w:t>Provide all barricades and lights, as necessary, in order to prevent any unauthorized entry to construction areas and affected roads, streets, and alleyways, inside and outside of the fenced area, and as required in order to ensure public safety and the safety of the Contractor’s employees, other employer’s employees, and others who may be affected by the Work.</w:t>
      </w:r>
    </w:p>
    <w:p>
      <w:pPr>
        <w:pStyle w:val="P3"/>
      </w:pPr>
      <w:r>
        <w:t>Provide barricades and lights to protect existing facilities and adjacent properties from potential damage.</w:t>
      </w:r>
    </w:p>
    <w:p>
      <w:pPr>
        <w:pStyle w:val="P3"/>
      </w:pPr>
      <w:r>
        <w:t>Locate barricades to enable access by facility operators and private property owners.</w:t>
      </w:r>
    </w:p>
    <w:p>
      <w:pPr>
        <w:pStyle w:val="P3"/>
      </w:pPr>
      <w:r>
        <w:t>Protect streets, roads, highways, and other public thoroughfares that are closed to traffic by effective barricades with acceptable warning signs.</w:t>
      </w:r>
    </w:p>
    <w:p>
      <w:pPr>
        <w:pStyle w:val="P3"/>
      </w:pPr>
      <w:r>
        <w:t>Locate barricades at the nearest intersecting public thoroughfare on each side of the blocked section.</w:t>
      </w:r>
    </w:p>
    <w:p>
      <w:pPr>
        <w:pStyle w:val="P2"/>
      </w:pPr>
      <w:r>
        <w:t>Signs and Equipment</w:t>
      </w:r>
    </w:p>
    <w:p>
      <w:pPr>
        <w:pStyle w:val="P3"/>
      </w:pPr>
      <w:r>
        <w:t>Conform to the requirements of the Ontario Traffic Manual – Book 7 published by the Ontario Ministry of Transportation.</w:t>
      </w:r>
    </w:p>
    <w:p>
      <w:pPr>
        <w:pStyle w:val="P3"/>
      </w:pPr>
      <w:r>
        <w:t>Traffic Cones: Provide to delineate traffic lanes and to guide and separate traffic movements.</w:t>
      </w:r>
    </w:p>
    <w:p>
      <w:pPr>
        <w:pStyle w:val="P3"/>
      </w:pPr>
      <w:r>
        <w:t>Provide at obstructions, such as material piles and equipment.</w:t>
      </w:r>
    </w:p>
    <w:p>
      <w:pPr>
        <w:pStyle w:val="P3"/>
      </w:pPr>
      <w:r>
        <w:t>Illuminate barricades and obstructions with warning lights from sunset to sunrise.</w:t>
      </w:r>
    </w:p>
    <w:p>
      <w:pPr>
        <w:pStyle w:val="P3"/>
      </w:pPr>
      <w:r>
        <w:t>Use signs to alert the general public of construction hazards, including any surface irregularities, un-ramped walkways, grade changes, and trenches or excavations in roadways and in other public access areas.</w:t>
      </w:r>
    </w:p>
    <w:p>
      <w:pPr>
        <w:pStyle w:val="P2"/>
      </w:pPr>
      <w:r>
        <w:t xml:space="preserve">Existing Structures </w:t>
      </w:r>
    </w:p>
    <w:p>
      <w:pPr>
        <w:pStyle w:val="P3"/>
      </w:pPr>
      <w:r>
        <w:t xml:space="preserve">Where the Contractor contemplates the removal of small structures such signposts and culverts that interfere with the Contractor’s operations, obtain the prior approval of the property owner and the Consultant prior to the removal of any small structures. </w:t>
      </w:r>
    </w:p>
    <w:p>
      <w:pPr>
        <w:pStyle w:val="P3"/>
      </w:pPr>
      <w:r>
        <w:t xml:space="preserve">The Contractor shall replace small structures that are removed with structures in a condition equal to or better than their original pre-construction conditions. Provide temporary replacements, where required, with the prior approval of the property owner and/or Consultant, until the final replacement has been carried out. </w:t>
      </w:r>
    </w:p>
    <w:p>
      <w:pPr>
        <w:pStyle w:val="P2"/>
      </w:pPr>
      <w:r>
        <w:t>Access Roads</w:t>
      </w:r>
    </w:p>
    <w:p>
      <w:pPr>
        <w:pStyle w:val="P3"/>
      </w:pPr>
      <w:r>
        <w:t xml:space="preserve">Construct access roads as shown on the Contract Drawings within the easements, rights-of-way, or Contract limits. Utilize existing roads where shown on the Contract Drawings. Alignments for new routes must be approved, in advance, by the Consultant. Also refer to regulatory, environmental and construction sequencing requirements in the Contract Documents for access to the Site. </w:t>
      </w:r>
    </w:p>
    <w:p>
      <w:pPr>
        <w:pStyle w:val="P3"/>
      </w:pPr>
      <w:r>
        <w:t>Maintain drainage ways. Install and maintain culverts to allow water to flow beneath access roads. Provide aluminized steel, Type 2 culvert pipe of adequate strength to resist construction loads. Other pipe materials shall not be used.</w:t>
      </w:r>
    </w:p>
    <w:p>
      <w:pPr>
        <w:pStyle w:val="P3"/>
      </w:pPr>
      <w:r>
        <w:t>Provide gravel, crushed rock, or other stabilization material to permit access by all motor vehicles at all times.</w:t>
      </w:r>
    </w:p>
    <w:p>
      <w:pPr>
        <w:pStyle w:val="P3"/>
      </w:pPr>
      <w:r>
        <w:t>Maintain the road grade and crown in order to eliminate potholes, rutting, and other irregularities that may restrict access.</w:t>
      </w:r>
    </w:p>
    <w:p>
      <w:pPr>
        <w:pStyle w:val="P3"/>
      </w:pPr>
      <w:r>
        <w:t>Coordinate with the Consultant any detours and other operations affecting traffic and access. Provide at least three Working Days’ prior written notice to the Consultant of operations that will alter access to the Site.</w:t>
      </w:r>
    </w:p>
    <w:p>
      <w:pPr>
        <w:pStyle w:val="P3"/>
      </w:pPr>
      <w:r>
        <w:t xml:space="preserve">Where an access road crosses existing fences, install and maintain gates. Gates and gate posts shall conform to the requirements specified in </w:t>
      </w:r>
      <w:r>
        <w:rPr>
          <w:highlight w:val="yellow"/>
        </w:rPr>
        <w:t>[Section 02821 - Chain Link Fence and Gates]</w:t>
      </w:r>
      <w:r>
        <w:t>.</w:t>
      </w:r>
    </w:p>
    <w:p>
      <w:pPr>
        <w:pStyle w:val="P3"/>
      </w:pPr>
      <w:r>
        <w:t>Upon the completion of construction, restore the ground surface disturbed by access road construction to its original grade.</w:t>
      </w:r>
    </w:p>
    <w:p>
      <w:pPr>
        <w:pStyle w:val="P3"/>
      </w:pPr>
      <w:r>
        <w:t xml:space="preserve">Control dust on the Site at all times in accordance with </w:t>
      </w:r>
      <w:r>
        <w:rPr>
          <w:highlight w:val="yellow"/>
        </w:rPr>
        <w:t>Section 02362 – Dust Control</w:t>
      </w:r>
      <w:r>
        <w:t>.</w:t>
      </w:r>
    </w:p>
    <w:p>
      <w:pPr>
        <w:pStyle w:val="P2"/>
      </w:pPr>
      <w:r>
        <w:t>Parking Areas</w:t>
      </w:r>
    </w:p>
    <w:p>
      <w:pPr>
        <w:pStyle w:val="P3"/>
      </w:pPr>
      <w:r>
        <w:t>Control vehicular parking to avoid interference with public traffic or parking and access by emergency vehicles, the Region’s operations staff, or construction operations.</w:t>
      </w:r>
    </w:p>
    <w:p>
      <w:pPr>
        <w:pStyle w:val="P3"/>
      </w:pPr>
      <w:r>
        <w:t>Provide parking facilities for personnel working at the Site. No employee or equipment parking will be permitted on the Site, except in areas specifically designated for the Contractor’s use.</w:t>
      </w:r>
    </w:p>
    <w:p>
      <w:pPr>
        <w:pStyle w:val="P3"/>
      </w:pPr>
      <w:r>
        <w:t>Use the area designated on the Contract Drawings for the parking of the Contractor’s and the Contractor’s employees’ vehicles.</w:t>
      </w:r>
    </w:p>
    <w:p>
      <w:pPr>
        <w:pStyle w:val="P3"/>
      </w:pPr>
      <w:r>
        <w:t>Parking will be permitted on site provided it does not disrupt performance of work or operation of the facility, if applicable.</w:t>
      </w:r>
    </w:p>
    <w:p>
      <w:pPr>
        <w:pStyle w:val="P3"/>
      </w:pPr>
      <w:r>
        <w:t>Provide and maintain adequate access to project Site parking areas.</w:t>
      </w:r>
    </w:p>
    <w:p>
      <w:pPr>
        <w:pStyle w:val="P3"/>
      </w:pPr>
      <w:r>
        <w:t>Due to space limitations at existing facilities, when necessary, the Contractor shall arrange and pay for any additional parking facilities required for its staff at an off-site location.</w:t>
      </w:r>
    </w:p>
    <w:p>
      <w:pPr>
        <w:pStyle w:val="P3"/>
      </w:pPr>
      <w:r>
        <w:t>Build and maintain temporary roads where indicated or directed by Consultant and provide snow removal during period of Work.</w:t>
      </w:r>
    </w:p>
    <w:p>
      <w:pPr>
        <w:pStyle w:val="P3"/>
      </w:pPr>
      <w:r>
        <w:t>If authorized to use existing roads for access to project site, maintain such roads for duration of Contract and make good damage resulting from Contractor’s use of roads.</w:t>
      </w:r>
    </w:p>
    <w:p>
      <w:pPr>
        <w:pStyle w:val="P3"/>
      </w:pPr>
      <w:r>
        <w:t>Subcontractors may provide their own offices as necessary only with the approval of the Consultant. Direct location of these offices must be approved by the Consultant.</w:t>
      </w:r>
    </w:p>
    <w:p>
      <w:pPr>
        <w:pStyle w:val="P2"/>
      </w:pPr>
      <w:r>
        <w:t>Vehicular Traffic</w:t>
      </w:r>
    </w:p>
    <w:p>
      <w:pPr>
        <w:pStyle w:val="P3"/>
      </w:pPr>
      <w:r>
        <w:t>Comply with all applicable laws and regulations regarding closing or restricting the use of public streets or highways. No public or private road shall be closed, except with the prior written permission of the proper road authority. Ensure the least possible obstruction to traffic and the least amount of interference with normal business operations in the vicinity of the Work.</w:t>
      </w:r>
    </w:p>
    <w:p>
      <w:pPr>
        <w:pStyle w:val="P3"/>
      </w:pPr>
      <w:r>
        <w:t>Conduct the Work in a way that minimizes interference with public travel, whether vehicular or pedestrian.</w:t>
      </w:r>
    </w:p>
    <w:p>
      <w:pPr>
        <w:pStyle w:val="P3"/>
      </w:pPr>
      <w:r>
        <w:t>Whenever it is necessary to cross, close, or obstruct roads, driveways, and walks, whether public or private, provide and maintain suitable and safe bridges, detours, or other temporary expedients for the accommodation of public and private travel.</w:t>
      </w:r>
    </w:p>
    <w:p>
      <w:pPr>
        <w:pStyle w:val="P3"/>
      </w:pPr>
      <w:r>
        <w:t>Road Closures: Maintain satisfactory means of exit for residents and local businesses along the route of the Work. If it is necessary to close off a roadway or alley providing sole vehicular access to a property for periods greater than 2 hours, provide written notice to each owner so affected a minimum of 3 Days prior to such closure. In such cases, closings of up to 4 hours may be allowed. Closures of up to 10 hours may be allowed if 7 Days prior written notice is given and the permission of the Consultant has been obtained in advance.</w:t>
      </w:r>
    </w:p>
    <w:p>
      <w:pPr>
        <w:pStyle w:val="P3"/>
      </w:pPr>
      <w:r>
        <w:t>Maintenance of traffic is not required if the Contractor obtains written permission from the Region and the tenant of private property, or from the authority having jurisdiction over the public property involved, to obstruct traffic at a designated point.</w:t>
      </w:r>
    </w:p>
    <w:p>
      <w:pPr>
        <w:pStyle w:val="P3"/>
      </w:pPr>
      <w:r>
        <w:t>In making street crossings, do not block more than one half of the street at a time. Whenever possible, widen the shoulder on the opposite side in order to facilitate traffic flow. Provide temporary surfacing on shoulders as necessary.</w:t>
      </w:r>
    </w:p>
    <w:p>
      <w:pPr>
        <w:pStyle w:val="P3"/>
      </w:pPr>
      <w:r>
        <w:t>Maintain the top of backfilled trenches before they are paved in order to allow normal vehicular traffic to pass over. Provide temporary access driveways where required. Cleanup operations shall follow immediately behind backfilling.</w:t>
      </w:r>
    </w:p>
    <w:p>
      <w:pPr>
        <w:pStyle w:val="P3"/>
      </w:pPr>
      <w:r>
        <w:t>When traffic control persons are required by regulation or when deemed necessary in order to ensure public safety, furnish them with approved apparel and other regulation traffic control devices as may be required.</w:t>
      </w:r>
    </w:p>
    <w:p>
      <w:pPr>
        <w:pStyle w:val="P3"/>
      </w:pPr>
      <w:r>
        <w:t>Coordinate traffic routing with that of Other Contractors working in the same or in adjacent areas.</w:t>
      </w:r>
    </w:p>
    <w:p>
      <w:pPr>
        <w:pStyle w:val="P3"/>
      </w:pPr>
      <w:r>
        <w:t xml:space="preserve">Provide snow removal in order to facilitate the flow of normal vehicular traffic at the Site and on any other private roads affected by construction in accordance with </w:t>
      </w:r>
      <w:r>
        <w:rPr>
          <w:highlight w:val="yellow"/>
        </w:rPr>
        <w:t>Section 01741 – Site Maintenance</w:t>
      </w:r>
      <w:r>
        <w:t xml:space="preserve">. </w:t>
      </w:r>
    </w:p>
    <w:p>
      <w:pPr>
        <w:pStyle w:val="P2"/>
        <w:numPr>
          <w:ilvl w:val="1"/>
          <w:numId w:val="20"/>
        </w:numPr>
      </w:pPr>
      <w:r>
        <w:t xml:space="preserve">Paid Duty Police Officers </w:t>
      </w:r>
    </w:p>
    <w:p>
      <w:pPr>
        <w:pStyle w:val="P3"/>
        <w:numPr>
          <w:ilvl w:val="2"/>
          <w:numId w:val="20"/>
        </w:numPr>
        <w:tabs>
          <w:tab w:val="clear" w:pos="1350" w:leader="none"/>
          <w:tab w:val="left" w:pos="1440" w:leader="none"/>
        </w:tabs>
        <w:ind w:left="1440"/>
      </w:pPr>
      <w:r>
        <w:t>The Contractor shall provide and pay for paid duty police officers with police vehicles during construction.</w:t>
      </w:r>
    </w:p>
    <w:p>
      <w:pPr>
        <w:pStyle w:val="P3"/>
        <w:numPr>
          <w:ilvl w:val="2"/>
          <w:numId w:val="20"/>
        </w:numPr>
        <w:tabs>
          <w:tab w:val="clear" w:pos="1350" w:leader="none"/>
          <w:tab w:val="left" w:pos="1440" w:leader="none"/>
        </w:tabs>
        <w:ind w:left="1440"/>
      </w:pPr>
      <w:r>
        <w:t xml:space="preserve">Traffic Control Persons (TCPs) shall not be positioned, or operate, within 30m of an intersection with active signals. Paid duty police officers must be used to control traffic within an intersection with active signals, as required by the Ontario Traffic Manual – Book 7. </w:t>
      </w:r>
    </w:p>
    <w:p>
      <w:pPr>
        <w:pStyle w:val="P3"/>
        <w:numPr>
          <w:ilvl w:val="2"/>
          <w:numId w:val="20"/>
        </w:numPr>
        <w:tabs>
          <w:tab w:val="clear" w:pos="1350" w:leader="none"/>
          <w:tab w:val="left" w:pos="1440" w:leader="none"/>
        </w:tabs>
        <w:ind w:left="1440"/>
      </w:pPr>
      <w:r>
        <w:t>If lane closures are required, the closures must be completed as per the approved Traffic Management Plan (CVPTMP) as required by the Ontario Traffic Manual – Book 7 and the conditions as set forth in the Road Occupancy Permit.</w:t>
      </w:r>
    </w:p>
    <w:p>
      <w:pPr>
        <w:pStyle w:val="P3"/>
        <w:numPr>
          <w:ilvl w:val="2"/>
          <w:numId w:val="20"/>
        </w:numPr>
        <w:tabs>
          <w:tab w:val="clear" w:pos="1350" w:leader="none"/>
          <w:tab w:val="left" w:pos="1440" w:leader="none"/>
        </w:tabs>
        <w:ind w:left="1440"/>
      </w:pPr>
      <w:r>
        <w:t>The actual hours of required police service will be determined by actual traffic and construction staging conditions and through discussions between the Region, the Contractor and the police, in response to Site specific circumstances and the requirements of the Ontario Traffic Manual – Book 7.</w:t>
      </w:r>
    </w:p>
    <w:p>
      <w:pPr>
        <w:pStyle w:val="P3"/>
        <w:numPr>
          <w:ilvl w:val="2"/>
          <w:numId w:val="20"/>
        </w:numPr>
        <w:tabs>
          <w:tab w:val="clear" w:pos="1350" w:leader="none"/>
          <w:tab w:val="left" w:pos="1440" w:leader="none"/>
        </w:tabs>
        <w:ind w:left="1440"/>
      </w:pPr>
      <w:r>
        <w:t>Measurement for payment shall be based on the actual hours invoiced by the police.</w:t>
      </w:r>
    </w:p>
    <w:p>
      <w:pPr>
        <w:pStyle w:val="P3"/>
        <w:numPr>
          <w:ilvl w:val="2"/>
          <w:numId w:val="20"/>
        </w:numPr>
        <w:tabs>
          <w:tab w:val="clear" w:pos="1350" w:leader="none"/>
          <w:tab w:val="left" w:pos="1440" w:leader="none"/>
        </w:tabs>
        <w:ind w:left="1440"/>
      </w:pPr>
      <w:r>
        <w:t xml:space="preserve">The Contractor shall pay the police directly and shall provide copies of the invoices and proof of payment to the Region, for payment under the Cash Allowance for Item </w:t>
      </w:r>
      <w:r>
        <w:rPr>
          <w:highlight w:val="yellow"/>
        </w:rPr>
        <w:t xml:space="preserve">[   ]</w:t>
      </w:r>
      <w:r>
        <w:t xml:space="preserve">. Markups by the Contractor shall be applied on any invoice submitted for payment under Cash Allowance Item </w:t>
      </w:r>
      <w:r>
        <w:rPr>
          <w:highlight w:val="yellow"/>
        </w:rPr>
        <w:t xml:space="preserve">[   ]</w:t>
      </w:r>
      <w:r>
        <w:t xml:space="preserve"> Paid Duty Police Officer and shall not exceed 5% per invoice. If the Cash Allowance for item </w:t>
      </w:r>
      <w:r>
        <w:rPr>
          <w:highlight w:val="yellow"/>
        </w:rPr>
        <w:t xml:space="preserve">[   ]</w:t>
      </w:r>
      <w:r>
        <w:t xml:space="preserve"> is less than the actual cost of the paid duty police, the Contractor will be paid the balance, in excess of the amount of the cash allowance, upon submission of the invoice from the police and proof of payment. Under no circumstances shall the Contractor be entitled to payment in excess of payment actually made to the police, as substantiated by invoices, plus the applicable markup.</w:t>
      </w:r>
    </w:p>
    <w:p>
      <w:pPr>
        <w:pStyle w:val="P2"/>
      </w:pPr>
      <w:r>
        <w:t>Temporary Bridges</w:t>
      </w:r>
    </w:p>
    <w:p>
      <w:pPr>
        <w:pStyle w:val="P3"/>
      </w:pPr>
      <w:r>
        <w:t>Construct temporary bridges at all points where the maintenance of traffic across pipeline construction is necessary.</w:t>
      </w:r>
    </w:p>
    <w:p>
      <w:pPr>
        <w:pStyle w:val="P3"/>
      </w:pPr>
      <w:r>
        <w:t>Make bridges over public streets, roads, and highways acceptable to the Region and/or Local Municipality.</w:t>
      </w:r>
    </w:p>
    <w:p>
      <w:pPr>
        <w:pStyle w:val="P3"/>
      </w:pPr>
      <w:r>
        <w:t>Bridges erected over private roads and driveways shall be adequate for the service to which they will be subjected.</w:t>
      </w:r>
    </w:p>
    <w:p>
      <w:pPr>
        <w:pStyle w:val="P3"/>
      </w:pPr>
      <w:r>
        <w:t>Provide sufficient roadway safety barriers and devices and suitably protected approaches.</w:t>
      </w:r>
    </w:p>
    <w:p>
      <w:pPr>
        <w:pStyle w:val="P3"/>
      </w:pPr>
      <w:r>
        <w:t>Provide foot bridges not less than 1,200 mm wide with handrails and uprights of dressed lumber.</w:t>
      </w:r>
    </w:p>
    <w:p>
      <w:pPr>
        <w:pStyle w:val="P3"/>
      </w:pPr>
      <w:r>
        <w:t>Maintain bridges in place as long as the conditions of the Work require their use for public safety, except when performing Work within the immediate vicinity of a bridge. When working in the immediate vicinity of a bridge, it may be relocated or temporarily removed for such period as the Consultant may permit.</w:t>
      </w:r>
    </w:p>
    <w:p>
      <w:pPr>
        <w:pStyle w:val="P2"/>
      </w:pPr>
      <w:r>
        <w:t>Other Items to be Provided</w:t>
      </w:r>
    </w:p>
    <w:p>
      <w:pPr>
        <w:pStyle w:val="P3"/>
      </w:pPr>
      <w:r>
        <w:t>All necessary eradication/obliteration of existing lane markings, and all temporary pavement markings.</w:t>
      </w:r>
    </w:p>
    <w:p>
      <w:pPr>
        <w:pStyle w:val="P3"/>
      </w:pPr>
      <w:r>
        <w:t>All signs and markers as required by Ontario Traffic Manual Book 7.</w:t>
      </w:r>
    </w:p>
    <w:p>
      <w:pPr>
        <w:pStyle w:val="P3"/>
      </w:pPr>
      <w:r>
        <w:t>Remove and subsequently reinstate, or bag and subsequently uncover, existing roadway signage according to subsection 706.07.02 of OPSS 706 (only in relation to temporary traffic management – not actual permanent construction activities, the cost of which will be paid under Item C.15). All reinstalled signs shall be installed on new posts of the same kind unless approval is granted by the Consultant to re-use the existing post.</w:t>
      </w:r>
    </w:p>
    <w:p>
      <w:pPr>
        <w:pStyle w:val="P3"/>
      </w:pPr>
      <w:r>
        <w:t>Temporary stop signs where existing signs are not visible due to construction activities.</w:t>
      </w:r>
    </w:p>
    <w:p>
      <w:pPr>
        <w:pStyle w:val="P3"/>
      </w:pPr>
      <w:r>
        <w:t>Provision of flag-persons.</w:t>
      </w:r>
    </w:p>
    <w:p>
      <w:pPr>
        <w:pStyle w:val="P44"/>
        <w:spacing w:before="240" w:beforeAutospacing="0" w:afterAutospacing="0"/>
        <w:jc w:val="center"/>
        <w:rPr>
          <w:b w:val="1"/>
          <w:sz w:val="22"/>
        </w:rPr>
      </w:pPr>
      <w:r>
        <w:rPr>
          <w:b w:val="1"/>
          <w:sz w:val="22"/>
        </w:rPr>
        <w:t>END OF SECTION</w:t>
      </w:r>
    </w:p>
    <w:p>
      <w:pPr>
        <w:pStyle w:val="P44"/>
        <w:spacing w:before="240" w:beforeAutospacing="0" w:afterAutospacing="0"/>
        <w:jc w:val="center"/>
        <w:rPr>
          <w:b w:val="1"/>
          <w:sz w:val="22"/>
        </w:rPr>
      </w:pPr>
    </w:p>
    <w:p>
      <w:pPr>
        <w:pStyle w:val="P44"/>
        <w:spacing w:before="240" w:beforeAutospacing="0" w:afterAutospacing="0"/>
        <w:rPr>
          <w:b w:val="1"/>
          <w:sz w:val="22"/>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even" r:id="RelFtr1"/>
      <w:type w:val="nextPage"/>
      <w:pgMar w:left="720" w:right="720" w:top="1440" w:bottom="1440" w:header="720" w:footer="720" w:gutter="994"/>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tabs>
        <w:tab w:val="left" w:pos="8172" w:leader="none"/>
        <w:tab w:val="clear" w:pos="9000" w:leader="none"/>
      </w:tabs>
    </w:pPr>
    <w:r>
      <w:tab/>
    </w: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pPr>
    <w:r>
      <w:t>CONTRACT NO</w:t>
    </w:r>
    <w:r>
      <w:rPr>
        <w:highlight w:val="lightGray"/>
      </w:rPr>
      <w:t>.... [Insert Region Number]</w:t>
    </w:r>
    <w:r>
      <w:tab/>
      <w:t>Section 01500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pPr>
    <w:r>
      <w:rPr>
        <w:b w:val="1"/>
      </w:rPr>
      <w:tab/>
      <w:t>CONSTRUCTION FACILITIES AND TEMPORARY CONTROLS</w:t>
    </w:r>
    <w:r>
      <w:tab/>
      <w:t>2013-07-23</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pPr>
    <w:r>
      <w:t xml:space="preserve">DATE:  </w:t>
    </w:r>
    <w:r>
      <w:rPr>
        <w:highlight w:val="lightGray"/>
      </w:rPr>
      <w:t>[Insert Date, (e.g. Jan., 2000)]</w:t>
    </w:r>
    <w:r>
      <w:tab/>
      <w:tab/>
      <w:t xml:space="preserve">Page </w:t>
    </w:r>
    <w:r>
      <w:fldChar w:fldCharType="begin"/>
    </w:r>
    <w:r>
      <w:instrText xml:space="preserve">PAGE </w:instrText>
    </w:r>
    <w:r>
      <w:fldChar w:fldCharType="separate"/>
    </w:r>
    <w:r>
      <w:t>#</w:t>
    </w:r>
    <w:r>
      <w:fldChar w:fldCharType="end"/>
    </w:r>
    <w:r>
      <w:t xml:space="preserve"> of </w:t>
    </w:r>
    <w:r>
      <w:rPr>
        <w:rStyle w:val="C5"/>
        <w:caps w:val="1"/>
        <w:sz w:val="22"/>
      </w:rPr>
      <w:fldChar w:fldCharType="begin"/>
    </w:r>
    <w:r>
      <w:rPr>
        <w:rStyle w:val="C5"/>
        <w:caps w:val="1"/>
        <w:sz w:val="22"/>
      </w:rPr>
      <w:instrText xml:space="preserve"> NUMPAGES </w:instrText>
    </w:r>
    <w:r>
      <w:rPr>
        <w:rStyle w:val="C5"/>
        <w:caps w:val="1"/>
        <w:sz w:val="22"/>
      </w:rPr>
      <w:fldChar w:fldCharType="separate"/>
    </w:r>
    <w:r>
      <w:rPr>
        <w:rStyle w:val="C5"/>
        <w:caps w:val="1"/>
        <w:sz w:val="22"/>
      </w:rPr>
      <w:t>#</w:t>
    </w:r>
    <w:r>
      <w:rPr>
        <w:rStyle w:val="C5"/>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t>CONTRACT NO</w:t>
    </w:r>
    <w:r>
      <w:rPr>
        <w:highlight w:val="yellow"/>
      </w:rPr>
      <w:t>.... [Insert Contract Number]</w:t>
    </w:r>
    <w:r>
      <w:tab/>
      <w:t>Section 01550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b w:val="1"/>
      </w:rPr>
      <w:tab/>
      <w:t>TRAFFIC CONTROL</w:t>
    </w:r>
    <w:r>
      <w:tab/>
      <w:t>2022-08-11</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pPr>
    <w:r>
      <w:t xml:space="preserve">DATE: </w:t>
    </w:r>
    <w:r>
      <w:rPr>
        <w:highlight w:val="yellow"/>
      </w:rPr>
      <w:t>[Insert Date, (e.g. Jan., 2020)]</w:t>
    </w:r>
    <w:r>
      <w:tab/>
      <w:tab/>
      <w:t xml:space="preserve">Page </w:t>
    </w:r>
    <w:r>
      <w:fldChar w:fldCharType="begin"/>
    </w:r>
    <w:r>
      <w:instrText xml:space="preserve">PAGE </w:instrText>
    </w:r>
    <w:r>
      <w:fldChar w:fldCharType="separate"/>
    </w:r>
    <w:r>
      <w:t>#</w:t>
    </w:r>
    <w:r>
      <w:fldChar w:fldCharType="end"/>
    </w:r>
    <w:r>
      <w:t xml:space="preserve"> </w:t>
    </w:r>
  </w:p>
  <w:p>
    <w:pPr>
      <w:pStyle w:val="P23"/>
      <w:spacing w:after="240" w:beforeAutospacing="0" w:afterAutospacing="0"/>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t>Section 01550</w:t>
      <w:tab/>
      <w:t>CONTRACT NO</w:t>
    </w:r>
    <w:r>
      <w:rPr>
        <w:highlight w:val="yellow"/>
      </w:rPr>
      <w:t>.... [Insert Contract Number]</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t>2022-08-11</w:t>
    </w:r>
    <w:r>
      <w:rPr>
        <w:b w:val="1"/>
      </w:rPr>
      <w:tab/>
      <w:t>TRAFFIC CONTROL</w:t>
    </w:r>
    <w:r>
      <w:tab/>
    </w:r>
  </w:p>
  <w:p>
    <w:r>
      <w:t xml:space="preserve">Page </w:t>
    </w:r>
    <w:r>
      <w:fldChar w:fldCharType="begin"/>
    </w:r>
    <w:r>
      <w:instrText xml:space="preserve">PAGE </w:instrText>
    </w:r>
    <w:r>
      <w:fldChar w:fldCharType="separate"/>
    </w:r>
    <w:r>
      <w:t>#</w:t>
    </w:r>
    <w:r>
      <w:fldChar w:fldCharType="end"/>
    </w:r>
    <w:r>
      <w:rPr>
        <w:rStyle w:val="C5"/>
        <w:caps w:val="1"/>
        <w:sz w:val="22"/>
      </w:rPr>
      <w:tab/>
      <w:tab/>
      <w:tab/>
      <w:tab/>
      <w:tab/>
      <w:tab/>
      <w:tab/>
      <w:tab/>
      <w:tab/>
      <w:t xml:space="preserve"> </w:t>
    </w:r>
    <w:r>
      <w:t xml:space="preserve">DATE: </w:t>
    </w:r>
    <w:r>
      <w:rPr>
        <w:highlight w:val="yellow"/>
      </w:rPr>
      <w:t>[Insert Date, (e.g. Jan., 2020)]</w:t>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529BFACA">
      <w:start w:val="1"/>
      <w:numFmt w:val="decimal"/>
      <w:suff w:val="tab"/>
      <w:lvlText w:val="%1."/>
      <w:lvlJc w:val="left"/>
      <w:pPr/>
      <w:rPr/>
    </w:lvl>
    <w:lvl w:ilvl="2" w:tplc="601168B0">
      <w:start w:val="1"/>
      <w:numFmt w:val="decimal"/>
      <w:suff w:val="tab"/>
      <w:lvlText w:val="%1."/>
      <w:lvlJc w:val="left"/>
      <w:pPr/>
      <w:rPr/>
    </w:lvl>
    <w:lvl w:ilvl="3" w:tplc="3245FAC6">
      <w:start w:val="1"/>
      <w:numFmt w:val="decimal"/>
      <w:suff w:val="tab"/>
      <w:lvlText w:val="%1."/>
      <w:lvlJc w:val="left"/>
      <w:pPr/>
      <w:rPr/>
    </w:lvl>
    <w:lvl w:ilvl="4" w:tplc="144E8417">
      <w:start w:val="1"/>
      <w:numFmt w:val="decimal"/>
      <w:suff w:val="tab"/>
      <w:lvlText w:val="%1."/>
      <w:lvlJc w:val="left"/>
      <w:pPr/>
      <w:rPr/>
    </w:lvl>
    <w:lvl w:ilvl="5" w:tplc="36D74D59">
      <w:start w:val="1"/>
      <w:numFmt w:val="decimal"/>
      <w:suff w:val="tab"/>
      <w:lvlText w:val="%1."/>
      <w:lvlJc w:val="left"/>
      <w:pPr/>
      <w:rPr/>
    </w:lvl>
    <w:lvl w:ilvl="6" w:tplc="739A85BC">
      <w:start w:val="1"/>
      <w:numFmt w:val="decimal"/>
      <w:suff w:val="tab"/>
      <w:lvlText w:val="%1."/>
      <w:lvlJc w:val="left"/>
      <w:pPr/>
      <w:rPr/>
    </w:lvl>
    <w:lvl w:ilvl="7" w:tplc="1AA6C82A">
      <w:start w:val="1"/>
      <w:numFmt w:val="decimal"/>
      <w:suff w:val="tab"/>
      <w:lvlText w:val="%1."/>
      <w:lvlJc w:val="left"/>
      <w:pPr/>
      <w:rPr/>
    </w:lvl>
    <w:lvl w:ilvl="8" w:tplc="4A9A6F75">
      <w:start w:val="1"/>
      <w:numFmt w:val="decimal"/>
      <w:suff w:val="tab"/>
      <w:lvlText w:val="%1."/>
      <w:lvlJc w:val="left"/>
      <w:pPr/>
      <w:rPr/>
    </w:lvl>
  </w:abstractNum>
  <w:abstractNum w:abstractNumId="1">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30823425"/>
    <w:multiLevelType w:val="multilevel"/>
    <w:lvl w:ilvl="0">
      <w:start w:val="1"/>
      <w:numFmt w:val="decimal"/>
      <w:suff w:val="tab"/>
      <w:lvlText w:val="Part %1"/>
      <w:lvlJc w:val="left"/>
      <w:pPr>
        <w:ind w:hanging="1440" w:left="1440"/>
        <w:tabs>
          <w:tab w:val="left" w:pos="1440" w:leader="none"/>
        </w:tabs>
      </w:pPr>
      <w:rPr>
        <w:caps w:val="1"/>
        <w:u w:val="single"/>
      </w:rPr>
    </w:lvl>
    <w:lvl w:ilvl="1">
      <w:start w:val="1"/>
      <w:numFmt w:val="decimal"/>
      <w:suff w:val="tab"/>
      <w:lvlText w:val="%1.%2"/>
      <w:lvlJc w:val="left"/>
      <w:pPr>
        <w:ind w:hanging="1440" w:left="1440"/>
        <w:tabs>
          <w:tab w:val="left" w:pos="1440" w:leader="none"/>
        </w:tabs>
      </w:pPr>
      <w:rPr/>
    </w:lvl>
    <w:lvl w:ilvl="2">
      <w:start w:val="1"/>
      <w:numFmt w:val="decimal"/>
      <w:suff w:val="tab"/>
      <w:lvlText w:val=".%3"/>
      <w:lvlJc w:val="left"/>
      <w:pPr>
        <w:ind w:hanging="720" w:left="1440"/>
        <w:tabs>
          <w:tab w:val="left" w:pos="1440" w:leader="none"/>
        </w:tabs>
      </w:pPr>
      <w:rPr/>
    </w:lvl>
    <w:lvl w:ilvl="3">
      <w:start w:val="1"/>
      <w:numFmt w:val="decimal"/>
      <w:suff w:val="tab"/>
      <w:lvlText w:val=".%4"/>
      <w:lvlJc w:val="left"/>
      <w:pPr>
        <w:ind w:hanging="720" w:left="2160"/>
        <w:tabs>
          <w:tab w:val="left" w:pos="2160" w:leader="none"/>
        </w:tabs>
      </w:pPr>
      <w:rPr/>
    </w:lvl>
    <w:lvl w:ilvl="4">
      <w:start w:val="1"/>
      <w:numFmt w:val="decimal"/>
      <w:suff w:val="tab"/>
      <w:lvlText w:val=".%5"/>
      <w:lvlJc w:val="left"/>
      <w:pPr>
        <w:ind w:hanging="720" w:left="2880"/>
        <w:tabs>
          <w:tab w:val="left" w:pos="2880" w:leader="none"/>
        </w:tabs>
      </w:pPr>
      <w:rPr/>
    </w:lvl>
    <w:lvl w:ilvl="5">
      <w:start w:val="1"/>
      <w:numFmt w:val="decimal"/>
      <w:suff w:val="tab"/>
      <w:lvlText w:val=".%6"/>
      <w:lvlJc w:val="left"/>
      <w:pPr>
        <w:ind w:hanging="720" w:left="3600"/>
        <w:tabs>
          <w:tab w:val="left" w:pos="3600" w:leader="none"/>
        </w:tabs>
      </w:pPr>
      <w:rPr/>
    </w:lvl>
    <w:lvl w:ilvl="6">
      <w:start w:val="1"/>
      <w:numFmt w:val="decimal"/>
      <w:suff w:val="tab"/>
      <w:lvlText w:val=".%7"/>
      <w:lvlJc w:val="left"/>
      <w:pPr>
        <w:ind w:hanging="720" w:left="4320"/>
        <w:tabs>
          <w:tab w:val="left" w:pos="4320" w:leader="none"/>
        </w:tabs>
      </w:pPr>
      <w:rPr/>
    </w:lvl>
    <w:lvl w:ilvl="7">
      <w:start w:val="1"/>
      <w:numFmt w:val="decimal"/>
      <w:suff w:val="tab"/>
      <w:lvlText w:val=".%8"/>
      <w:lvlJc w:val="left"/>
      <w:pPr>
        <w:ind w:hanging="720" w:left="5040"/>
        <w:tabs>
          <w:tab w:val="left" w:pos="5040" w:leader="none"/>
        </w:tabs>
      </w:pPr>
      <w:rPr/>
    </w:lvl>
    <w:lvl w:ilvl="8">
      <w:start w:val="1"/>
      <w:numFmt w:val="decimal"/>
      <w:suff w:val="tab"/>
      <w:lvlText w:val=".%9"/>
      <w:lvlJc w:val="left"/>
      <w:pPr>
        <w:ind w:hanging="720" w:left="5760"/>
        <w:tabs>
          <w:tab w:val="left" w:pos="5760" w:leader="none"/>
        </w:tabs>
      </w:pPr>
      <w:rPr/>
    </w:lvl>
  </w:abstractNum>
  <w:abstractNum w:abstractNumId="5">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350"/>
        <w:tabs>
          <w:tab w:val="left" w:pos="1350" w:leader="none"/>
        </w:tabs>
      </w:pPr>
      <w:rPr>
        <w:rFonts w:ascii="Calibri" w:hAnsi="Calibri"/>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pStyle w:val="P8"/>
      <w:suff w:val="tab"/>
      <w:lvlText w:val=".%8"/>
      <w:lvlJc w:val="left"/>
      <w:pPr>
        <w:ind w:hanging="720" w:left="5040"/>
        <w:tabs>
          <w:tab w:val="left" w:pos="5040" w:leader="none"/>
        </w:tabs>
      </w:pPr>
      <w:rPr>
        <w:rFonts w:ascii="Calibri" w:hAnsi="Calibri"/>
        <w:b w:val="0"/>
        <w:i w:val="0"/>
        <w:sz w:val="22"/>
      </w:rPr>
    </w:lvl>
    <w:lvl w:ilvl="8">
      <w:start w:val="1"/>
      <w:numFmt w:val="decimal"/>
      <w:pStyle w:val="P9"/>
      <w:suff w:val="tab"/>
      <w:lvlText w:val=".%9"/>
      <w:lvlJc w:val="left"/>
      <w:pPr>
        <w:ind w:hanging="720" w:left="5760"/>
        <w:tabs>
          <w:tab w:val="left" w:pos="5760" w:leader="none"/>
        </w:tabs>
      </w:pPr>
      <w:rPr>
        <w:rFonts w:ascii="Calibri" w:hAnsi="Calibri"/>
        <w:b w:val="0"/>
        <w:i w:val="0"/>
        <w:sz w:val="22"/>
      </w:rPr>
    </w:lvl>
  </w:abstractNum>
  <w:abstractNum w:abstractNumId="8">
    <w:nsid w:val="50407D28"/>
    <w:multiLevelType w:val="multilevel"/>
    <w:lvl w:ilvl="0">
      <w:start w:val="1"/>
      <w:numFmt w:val="decimal"/>
      <w:suff w:val="tab"/>
      <w:lvlText w:val="PART %1."/>
      <w:lvlJc w:val="left"/>
      <w:pPr>
        <w:ind w:hanging="432" w:left="432"/>
        <w:tabs>
          <w:tab w:val="left" w:pos="432" w:leader="none"/>
        </w:tabs>
      </w:pPr>
      <w:rPr>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Calibri" w:hAnsi="Calibri"/>
        <w:color w:val="000000"/>
        <w:sz w:val="22"/>
      </w:rPr>
    </w:lvl>
    <w:lvl w:ilvl="3">
      <w:start w:val="1"/>
      <w:numFmt w:val="decimal"/>
      <w:suff w:val="tab"/>
      <w:lvlText w:val=".%4"/>
      <w:lvlJc w:val="left"/>
      <w:pPr>
        <w:ind w:firstLine="3456" w:left="864"/>
        <w:tabs>
          <w:tab w:val="left" w:pos="864" w:leader="none"/>
        </w:tabs>
      </w:pPr>
      <w:rPr>
        <w:rFonts w:ascii="Calibri" w:hAnsi="Calibri"/>
      </w:rPr>
    </w:lvl>
    <w:lvl w:ilvl="4">
      <w:start w:val="1"/>
      <w:numFmt w:val="decimal"/>
      <w:suff w:val="tab"/>
      <w:lvlText w:val="%5."/>
      <w:lvlJc w:val="left"/>
      <w:pPr>
        <w:ind w:firstLine="4320" w:left="720"/>
        <w:tabs>
          <w:tab w:val="left" w:pos="720"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0">
    <w:nsid w:val="60660694"/>
    <w:multiLevelType w:val="multilevel"/>
    <w:lvl w:ilvl="0">
      <w:start w:val="1"/>
      <w:numFmt w:val="bullet"/>
      <w:suff w:val="tab"/>
      <w:lvlText w:val=""/>
      <w:lvlJc w:val="left"/>
      <w:pPr>
        <w:ind w:hanging="360" w:left="1800"/>
        <w:tabs>
          <w:tab w:val="left" w:pos="1800" w:leader="none"/>
        </w:tabs>
      </w:pPr>
      <w:rPr>
        <w:rFonts w:ascii="Symbol" w:hAnsi="Symbol"/>
        <w:color w:val="auto"/>
      </w:rPr>
    </w:lvl>
    <w:lvl w:ilvl="1">
      <w:start w:val="1"/>
      <w:numFmt w:val="bullet"/>
      <w:suff w:val="tab"/>
      <w:lvlText w:val="o"/>
      <w:lvlJc w:val="left"/>
      <w:pPr>
        <w:ind w:hanging="360" w:left="2160"/>
        <w:tabs>
          <w:tab w:val="left" w:pos="2160" w:leader="none"/>
        </w:tabs>
      </w:pPr>
      <w:rPr>
        <w:rFonts w:ascii="Courier New" w:hAnsi="Courier New"/>
      </w:rPr>
    </w:lvl>
    <w:lvl w:ilvl="2">
      <w:start w:val="1"/>
      <w:numFmt w:val="bullet"/>
      <w:suff w:val="tab"/>
      <w:lvlText w:val=""/>
      <w:lvlJc w:val="left"/>
      <w:pPr>
        <w:ind w:hanging="360" w:left="2880"/>
        <w:tabs>
          <w:tab w:val="left" w:pos="2880" w:leader="none"/>
        </w:tabs>
      </w:pPr>
      <w:rPr>
        <w:rFonts w:ascii="Wingdings" w:hAnsi="Wingdings"/>
      </w:rPr>
    </w:lvl>
    <w:lvl w:ilvl="3">
      <w:start w:val="1"/>
      <w:numFmt w:val="bullet"/>
      <w:suff w:val="tab"/>
      <w:lvlText w:val=""/>
      <w:lvlJc w:val="left"/>
      <w:pPr>
        <w:ind w:hanging="360" w:left="3600"/>
        <w:tabs>
          <w:tab w:val="left" w:pos="3600" w:leader="none"/>
        </w:tabs>
      </w:pPr>
      <w:rPr>
        <w:rFonts w:ascii="Symbol" w:hAnsi="Symbol"/>
      </w:rPr>
    </w:lvl>
    <w:lvl w:ilvl="4">
      <w:start w:val="1"/>
      <w:numFmt w:val="bullet"/>
      <w:suff w:val="tab"/>
      <w:lvlText w:val="o"/>
      <w:lvlJc w:val="left"/>
      <w:pPr>
        <w:ind w:hanging="360" w:left="4320"/>
        <w:tabs>
          <w:tab w:val="left" w:pos="4320" w:leader="none"/>
        </w:tabs>
      </w:pPr>
      <w:rPr>
        <w:rFonts w:ascii="Courier New" w:hAnsi="Courier New"/>
      </w:rPr>
    </w:lvl>
    <w:lvl w:ilvl="5">
      <w:start w:val="1"/>
      <w:numFmt w:val="bullet"/>
      <w:suff w:val="tab"/>
      <w:lvlText w:val=""/>
      <w:lvlJc w:val="left"/>
      <w:pPr>
        <w:ind w:hanging="360" w:left="5040"/>
        <w:tabs>
          <w:tab w:val="left" w:pos="5040" w:leader="none"/>
        </w:tabs>
      </w:pPr>
      <w:rPr>
        <w:rFonts w:ascii="Wingdings" w:hAnsi="Wingdings"/>
      </w:rPr>
    </w:lvl>
    <w:lvl w:ilvl="6">
      <w:start w:val="1"/>
      <w:numFmt w:val="bullet"/>
      <w:suff w:val="tab"/>
      <w:lvlText w:val=""/>
      <w:lvlJc w:val="left"/>
      <w:pPr>
        <w:ind w:hanging="360" w:left="5760"/>
        <w:tabs>
          <w:tab w:val="left" w:pos="5760" w:leader="none"/>
        </w:tabs>
      </w:pPr>
      <w:rPr>
        <w:rFonts w:ascii="Symbol" w:hAnsi="Symbol"/>
      </w:rPr>
    </w:lvl>
    <w:lvl w:ilvl="7">
      <w:start w:val="1"/>
      <w:numFmt w:val="bullet"/>
      <w:suff w:val="tab"/>
      <w:lvlText w:val="o"/>
      <w:lvlJc w:val="left"/>
      <w:pPr>
        <w:ind w:hanging="360" w:left="6480"/>
        <w:tabs>
          <w:tab w:val="left" w:pos="6480" w:leader="none"/>
        </w:tabs>
      </w:pPr>
      <w:rPr>
        <w:rFonts w:ascii="Courier New" w:hAnsi="Courier New"/>
      </w:rPr>
    </w:lvl>
    <w:lvl w:ilvl="8">
      <w:start w:val="1"/>
      <w:numFmt w:val="bullet"/>
      <w:suff w:val="tab"/>
      <w:lvlText w:val=""/>
      <w:lvlJc w:val="left"/>
      <w:pPr>
        <w:ind w:hanging="360" w:left="7200"/>
        <w:tabs>
          <w:tab w:val="left" w:pos="7200" w:leader="none"/>
        </w:tabs>
      </w:pPr>
      <w:rPr>
        <w:rFonts w:ascii="Wingdings" w:hAnsi="Wingdings"/>
      </w:rPr>
    </w:lvl>
  </w:abstractNum>
  <w:abstractNum w:abstractNumId="11">
    <w:nsid w:val="6F4A41FC"/>
    <w:multiLevelType w:val="multilevel"/>
    <w:lvl w:ilvl="0">
      <w:start w:val="1"/>
      <w:numFmt w:val="decimal"/>
      <w:suff w:val="tab"/>
      <w:lvlText w:val="%1"/>
      <w:legacy w:legacy="1" w:legacyIndent="0" w:legacySpace="0"/>
      <w:lvlJc w:val="left"/>
      <w:pPr/>
      <w:rPr/>
    </w:lvl>
    <w:lvl w:ilvl="1">
      <w:start w:val="1"/>
      <w:numFmt w:val="decimal"/>
      <w:suff w:val="tab"/>
      <w:lvlText w:val=".%2"/>
      <w:legacy w:legacy="1" w:legacyIndent="0" w:legacySpace="0"/>
      <w:lvlJc w:val="left"/>
      <w:pPr/>
      <w:rPr/>
    </w:lvl>
    <w:lvl w:ilvl="2">
      <w:start w:val="1"/>
      <w:numFmt w:val="decimal"/>
      <w:suff w:val="tab"/>
      <w:lvlText w:val=".%3"/>
      <w:legacy w:legacy="1" w:legacyIndent="0" w:legacySpace="0"/>
      <w:lvlJc w:val="left"/>
      <w:pPr/>
      <w:rPr/>
    </w:lvl>
    <w:lvl w:ilvl="3">
      <w:start w:val="1"/>
      <w:numFmt w:val="decimal"/>
      <w:suff w:val="tab"/>
      <w:lvlText w:val=".%4"/>
      <w:legacy w:legacy="1" w:legacyIndent="0" w:legacySpace="0"/>
      <w:lvlJc w:val="left"/>
      <w:pPr/>
      <w:rPr/>
    </w:lvl>
    <w:lvl w:ilvl="4">
      <w:start w:val="1"/>
      <w:numFmt w:val="decimal"/>
      <w:suff w:val="tab"/>
      <w:lvlText w:val=".%5"/>
      <w:legacy w:legacy="1" w:legacyIndent="0" w:legacySpace="0"/>
      <w:lvlJc w:val="left"/>
      <w:pPr/>
      <w:rPr/>
    </w:lvl>
    <w:lvl w:ilvl="5">
      <w:start w:val="1"/>
      <w:numFmt w:val="decimal"/>
      <w:suff w:val="tab"/>
      <w:lvlText w:val=".%6"/>
      <w:legacy w:legacy="1" w:legacyIndent="0" w:legacySpace="0"/>
      <w:lvlJc w:val="left"/>
      <w:pPr/>
      <w:rPr/>
    </w:lvl>
    <w:lvl w:ilvl="6">
      <w:start w:val="1"/>
      <w:numFmt w:val="decimal"/>
      <w:suff w:val="tab"/>
      <w:lvlText w:val=".%7"/>
      <w:legacy w:legacy="1" w:legacyIndent="0" w:legacySpace="0"/>
      <w:lvlJc w:val="left"/>
      <w:pPr/>
      <w:rPr/>
    </w:lvl>
    <w:lvl w:ilvl="7">
      <w:start w:val="1"/>
      <w:numFmt w:val="decimal"/>
      <w:suff w:val="tab"/>
      <w:lvlText w:val=".%8"/>
      <w:legacy w:legacy="1" w:legacyIndent="0" w:legacySpace="0"/>
      <w:lvlJc w:val="left"/>
      <w:pPr/>
      <w:rPr/>
    </w:lvl>
    <w:lvl w:ilvl="8">
      <w:start w:val="1"/>
      <w:numFmt w:val="none"/>
      <w:suff w:val="tab"/>
      <w:lvlText w:val=""/>
      <w:legacy w:legacy="1" w:legacyIndent="0" w:legacySpace="0"/>
      <w:lvlJc w:val="left"/>
      <w:pPr/>
      <w:rPr/>
    </w:lvl>
  </w:abstractNum>
  <w:abstractNum w:abstractNumId="12">
    <w:nsid w:val="78CA3F1E"/>
    <w:multiLevelType w:val="hybridMultilevel"/>
    <w:lvl w:ilvl="0">
      <w:start w:val="1"/>
      <w:numFmt w:val="lowerLetter"/>
      <w:suff w:val="tab"/>
      <w:lvlText w:val="%1)"/>
      <w:lvlJc w:val="left"/>
      <w:pPr>
        <w:ind w:hanging="720" w:left="1440"/>
        <w:tabs>
          <w:tab w:val="left" w:pos="1440" w:leader="none"/>
        </w:tabs>
      </w:pPr>
      <w:rPr/>
    </w:lvl>
    <w:lvl w:ilvl="1" w:tplc="7E4FF213">
      <w:start w:val="1"/>
      <w:numFmt w:val="decimal"/>
      <w:suff w:val="tab"/>
      <w:lvlText w:val="%1."/>
      <w:lvlJc w:val="left"/>
      <w:pPr/>
      <w:rPr/>
    </w:lvl>
    <w:lvl w:ilvl="2" w:tplc="3C269EE7">
      <w:start w:val="1"/>
      <w:numFmt w:val="decimal"/>
      <w:suff w:val="tab"/>
      <w:lvlText w:val="%1."/>
      <w:lvlJc w:val="left"/>
      <w:pPr/>
      <w:rPr/>
    </w:lvl>
    <w:lvl w:ilvl="3" w:tplc="6CDD1AFD">
      <w:start w:val="1"/>
      <w:numFmt w:val="decimal"/>
      <w:suff w:val="tab"/>
      <w:lvlText w:val="%1."/>
      <w:lvlJc w:val="left"/>
      <w:pPr/>
      <w:rPr/>
    </w:lvl>
    <w:lvl w:ilvl="4" w:tplc="1B0E1927">
      <w:start w:val="1"/>
      <w:numFmt w:val="decimal"/>
      <w:suff w:val="tab"/>
      <w:lvlText w:val="%1."/>
      <w:lvlJc w:val="left"/>
      <w:pPr/>
      <w:rPr/>
    </w:lvl>
    <w:lvl w:ilvl="5" w:tplc="33F7C9A4">
      <w:start w:val="1"/>
      <w:numFmt w:val="decimal"/>
      <w:suff w:val="tab"/>
      <w:lvlText w:val="%1."/>
      <w:lvlJc w:val="left"/>
      <w:pPr/>
      <w:rPr/>
    </w:lvl>
    <w:lvl w:ilvl="6" w:tplc="52DCB8ED">
      <w:start w:val="1"/>
      <w:numFmt w:val="decimal"/>
      <w:suff w:val="tab"/>
      <w:lvlText w:val="%1."/>
      <w:lvlJc w:val="left"/>
      <w:pPr/>
      <w:rPr/>
    </w:lvl>
    <w:lvl w:ilvl="7" w:tplc="22182D89">
      <w:start w:val="1"/>
      <w:numFmt w:val="decimal"/>
      <w:suff w:val="tab"/>
      <w:lvlText w:val="%1."/>
      <w:lvlJc w:val="left"/>
      <w:pPr/>
      <w:rPr/>
    </w:lvl>
    <w:lvl w:ilvl="8" w:tplc="1AB48360">
      <w:start w:val="1"/>
      <w:numFmt w:val="decimal"/>
      <w:suff w:val="tab"/>
      <w:lvlText w:val="%1."/>
      <w:lvlJc w:val="left"/>
      <w:pPr/>
      <w:rPr/>
    </w:lvl>
  </w:abstractNum>
  <w:abstractNum w:abstractNumId="13">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8"/>
  </w:num>
  <w:num w:numId="4">
    <w:abstractNumId w:val="3"/>
  </w:num>
  <w:num w:numId="5">
    <w:abstractNumId w:val="9"/>
  </w:num>
  <w:num w:numId="6">
    <w:abstractNumId w:val="2"/>
  </w:num>
  <w:num w:numId="7">
    <w:abstractNumId w:val="6"/>
  </w:num>
  <w:num w:numId="8">
    <w:abstractNumId w:val="1"/>
  </w:num>
  <w:num w:numId="9">
    <w:abstractNumId w:val="13"/>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12"/>
  </w:num>
  <w:num w:numId="30">
    <w:abstractNumId w:val="10"/>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z w:val="22"/>
    </w:rPr>
  </w:style>
  <w:style w:type="paragraph" w:styleId="P1">
    <w:name w:val="heading 1"/>
    <w:basedOn w:val="P50"/>
    <w:qFormat/>
    <w:pPr>
      <w:numPr>
        <w:numId w:val="28"/>
      </w:numPr>
      <w:spacing w:before="160" w:beforeAutospacing="0" w:afterAutospacing="0"/>
      <w:outlineLvl w:val="0"/>
    </w:pPr>
    <w:rPr>
      <w:caps w:val="1"/>
    </w:rPr>
  </w:style>
  <w:style w:type="paragraph" w:styleId="P2">
    <w:name w:val="heading 2"/>
    <w:basedOn w:val="P50"/>
    <w:next w:val="P0"/>
    <w:qFormat/>
    <w:pPr>
      <w:numPr>
        <w:ilvl w:val="1"/>
        <w:numId w:val="28"/>
      </w:numPr>
      <w:spacing w:before="80" w:beforeAutospacing="0" w:afterAutospacing="0"/>
      <w:outlineLvl w:val="1"/>
    </w:pPr>
    <w:rPr>
      <w:u w:val="single"/>
    </w:rPr>
  </w:style>
  <w:style w:type="paragraph" w:styleId="P3">
    <w:name w:val="heading 3"/>
    <w:basedOn w:val="P50"/>
    <w:link w:val="C7"/>
    <w:qFormat/>
    <w:pPr>
      <w:numPr>
        <w:ilvl w:val="2"/>
        <w:numId w:val="28"/>
      </w:numPr>
      <w:tabs>
        <w:tab w:val="clear" w:pos="1350" w:leader="none"/>
        <w:tab w:val="left" w:pos="1440" w:leader="none"/>
      </w:tabs>
      <w:spacing w:before="80" w:beforeAutospacing="0" w:afterAutospacing="0"/>
      <w:ind w:left="1440"/>
      <w:outlineLvl w:val="2"/>
    </w:pPr>
    <w:rPr/>
  </w:style>
  <w:style w:type="paragraph" w:styleId="P4">
    <w:name w:val="heading 4"/>
    <w:basedOn w:val="P50"/>
    <w:link w:val="C9"/>
    <w:qFormat/>
    <w:pPr>
      <w:numPr>
        <w:ilvl w:val="3"/>
        <w:numId w:val="28"/>
      </w:numPr>
      <w:outlineLvl w:val="3"/>
    </w:pPr>
    <w:rPr/>
  </w:style>
  <w:style w:type="paragraph" w:styleId="P5">
    <w:name w:val="heading 5"/>
    <w:basedOn w:val="P4"/>
    <w:link w:val="C10"/>
    <w:qFormat/>
    <w:pPr>
      <w:numPr>
        <w:ilvl w:val="4"/>
      </w:numPr>
      <w:outlineLvl w:val="4"/>
    </w:pPr>
    <w:rPr>
      <w:sz w:val="20"/>
    </w:rPr>
  </w:style>
  <w:style w:type="paragraph" w:styleId="P6">
    <w:name w:val="heading 6"/>
    <w:basedOn w:val="P5"/>
    <w:next w:val="P0"/>
    <w:link w:val="C11"/>
    <w:qFormat/>
    <w:pPr>
      <w:numPr>
        <w:ilvl w:val="5"/>
      </w:numPr>
      <w:outlineLvl w:val="5"/>
    </w:pPr>
    <w:rPr/>
  </w:style>
  <w:style w:type="paragraph" w:styleId="P7">
    <w:name w:val="heading 7"/>
    <w:basedOn w:val="P50"/>
    <w:next w:val="P0"/>
    <w:link w:val="C12"/>
    <w:qFormat/>
    <w:pPr>
      <w:numPr>
        <w:ilvl w:val="6"/>
        <w:numId w:val="28"/>
      </w:numPr>
      <w:outlineLvl w:val="6"/>
    </w:pPr>
    <w:rPr>
      <w:sz w:val="20"/>
    </w:rPr>
  </w:style>
  <w:style w:type="paragraph" w:styleId="P8">
    <w:name w:val="heading 8"/>
    <w:basedOn w:val="P7"/>
    <w:next w:val="P0"/>
    <w:link w:val="C13"/>
    <w:qFormat/>
    <w:pPr>
      <w:numPr>
        <w:ilvl w:val="7"/>
      </w:numPr>
      <w:outlineLvl w:val="7"/>
    </w:pPr>
    <w:rPr/>
  </w:style>
  <w:style w:type="paragraph" w:styleId="P9">
    <w:name w:val="heading 9"/>
    <w:basedOn w:val="P8"/>
    <w:next w:val="P0"/>
    <w:link w:val="C14"/>
    <w:qFormat/>
    <w:pPr>
      <w:numPr>
        <w:ilvl w:val="8"/>
        <w:numId w:val="27"/>
      </w:numPr>
      <w:outlineLvl w:val="8"/>
    </w:pPr>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link w:val="C8"/>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0"/>
    <w:link w:val="C15"/>
    <w:qFormat/>
    <w:pPr>
      <w:keepNext w:val="1"/>
      <w:spacing w:before="160" w:after="30" w:beforeAutospacing="0" w:afterAutospacing="0"/>
    </w:pPr>
    <w:rPr>
      <w:rFonts w:ascii="Arial Narrow" w:hAnsi="Arial Narrow"/>
      <w:b w:val="1"/>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pPr/>
    <w:rPr>
      <w:rFonts w:ascii="Tahoma" w:hAnsi="Tahoma"/>
      <w:sz w:val="16"/>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spacing w:before="0" w:beforeAutospacing="0" w:afterAutospacing="0"/>
    </w:pPr>
    <w:rPr>
      <w:rFonts w:ascii="Book Antiqua" w:hAnsi="Book Antiqua"/>
      <w:b w:val="1"/>
      <w:sz w:val="20"/>
    </w:rPr>
  </w:style>
  <w:style w:type="paragraph" w:styleId="P49">
    <w:name w:val="Revision"/>
    <w:hidden/>
    <w:semiHidden/>
    <w:pPr/>
    <w:rPr>
      <w:rFonts w:ascii="Book Antiqua" w:hAnsi="Book Antiqua"/>
      <w:sz w:val="22"/>
    </w:rPr>
  </w:style>
  <w:style w:type="paragraph" w:styleId="P50">
    <w:name w:val="List Paragraph"/>
    <w:basedOn w:val="P0"/>
    <w:qFormat/>
    <w:pPr>
      <w:ind w:left="720"/>
      <w:contextualSpacing w:val="1"/>
    </w:pPr>
    <w:rPr/>
  </w:style>
  <w:style w:type="paragraph" w:styleId="P51">
    <w:name w:val="!YR Body"/>
    <w:basedOn w:val="P0"/>
    <w:link w:val="C17"/>
    <w:pPr>
      <w:tabs>
        <w:tab w:val="left" w:pos="-720" w:leader="none"/>
        <w:tab w:val="center" w:pos="5040" w:leader="none"/>
      </w:tabs>
      <w:suppressAutoHyphens w:val="1"/>
      <w:ind w:right="58"/>
    </w:pPr>
    <w:rPr>
      <w:rFonts w:ascii="Times New Roman" w:hAnsi="Times New Roman"/>
      <w:color w:val="000000"/>
      <w:sz w:val="24"/>
      <w:lang w:val="en-CA" w:eastAsia="en-CA"/>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style>
  <w:style w:type="character" w:styleId="C8">
    <w:name w:val="Comment Text Char"/>
    <w:link w:val="P12"/>
    <w:semiHidden/>
    <w:rPr>
      <w:rFonts w:ascii="Arial" w:hAnsi="Arial"/>
    </w:rPr>
  </w:style>
  <w:style w:type="character" w:styleId="C9">
    <w:name w:val="Heading 4 Char"/>
    <w:link w:val="P4"/>
    <w:rPr/>
  </w:style>
  <w:style w:type="character" w:styleId="C10">
    <w:name w:val="Heading 5 Char"/>
    <w:link w:val="P5"/>
    <w:rPr>
      <w:sz w:val="20"/>
    </w:rPr>
  </w:style>
  <w:style w:type="character" w:styleId="C11">
    <w:name w:val="Heading 6 Char"/>
    <w:link w:val="P6"/>
    <w:rPr/>
  </w:style>
  <w:style w:type="character" w:styleId="C12">
    <w:name w:val="Heading 7 Char"/>
    <w:link w:val="P7"/>
    <w:rPr>
      <w:sz w:val="20"/>
    </w:rPr>
  </w:style>
  <w:style w:type="character" w:styleId="C13">
    <w:name w:val="Heading 8 Char"/>
    <w:link w:val="P8"/>
    <w:rPr/>
  </w:style>
  <w:style w:type="character" w:styleId="C14">
    <w:name w:val="Heading 9 Char"/>
    <w:link w:val="P9"/>
    <w:rPr/>
  </w:style>
  <w:style w:type="character" w:styleId="C15">
    <w:name w:val="Title Char"/>
    <w:link w:val="P30"/>
    <w:rPr>
      <w:rFonts w:ascii="Arial Narrow" w:hAnsi="Arial Narrow"/>
      <w:b w:val="1"/>
      <w:sz w:val="20"/>
    </w:rPr>
  </w:style>
  <w:style w:type="character" w:styleId="C16">
    <w:name w:val="Strong"/>
    <w:qFormat/>
    <w:rPr>
      <w:b w:val="1"/>
    </w:rPr>
  </w:style>
  <w:style w:type="character" w:styleId="C17">
    <w:name w:val="!YR Body Char"/>
    <w:link w:val="P51"/>
    <w:rPr>
      <w:rFonts w:ascii="Times New Roman" w:hAnsi="Times New Roman"/>
      <w:color w:val="000000"/>
      <w:sz w:val="24"/>
      <w:lang w:val="en-CA" w:eastAsia="en-CA"/>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2022-07-27T19:14:00Z</dcterms:created>
  <cp:lastModifiedBy>Ray</cp:lastModifiedBy>
  <cp:lastPrinted>2006-08-29T18:39:00Z</cp:lastPrinted>
  <dcterms:modified xsi:type="dcterms:W3CDTF">2022-10-04T19:38:50Z</dcterms:modified>
  <cp:revision>7</cp:revision>
  <dc:title>01550_Traffic_Control (Mar 18,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0x01010069F33AF97BEDA443B34B2276A31F1843</vt:lpwstr>
  </property>
  <property fmtid="{D5CDD505-2E9C-101B-9397-08002B2CF9AE}" pid="4" name="_dlc_DocIdItemGuid">
    <vt:lpwstr>3c515407-fb2b-4d04-8007-948110e840d4</vt:lpwstr>
  </property>
  <property fmtid="{D5CDD505-2E9C-101B-9397-08002B2CF9AE}" pid="5" name="URL">
    <vt:lpwstr/>
  </property>
  <property fmtid="{D5CDD505-2E9C-101B-9397-08002B2CF9AE}" pid="6" name="Order">
    <vt:r8>219400</vt:r8>
  </property>
  <property fmtid="{D5CDD505-2E9C-101B-9397-08002B2CF9AE}" pid="7" name="xd_ProgID">
    <vt:lpwstr/>
  </property>
  <property fmtid="{D5CDD505-2E9C-101B-9397-08002B2CF9AE}" pid="8" name="TemplateUrl">
    <vt:lpwstr/>
  </property>
  <property fmtid="{D5CDD505-2E9C-101B-9397-08002B2CF9AE}" pid="9" name="_CopySource">
    <vt:lpwstr>https://mycloud.york.ca/projects/EnvServProgramDeliveryOffice/Design/Shared Documents/Technical Design Specification Templates/Division 01 - General Requirements/01550 Traffic Control.DOCX</vt:lpwstr>
  </property>
  <property fmtid="{D5CDD505-2E9C-101B-9397-08002B2CF9AE}" pid="10" name="MediaServiceImageTags">
    <vt:lpwstr/>
  </property>
  <property fmtid="{D5CDD505-2E9C-101B-9397-08002B2CF9AE}" pid="11" name="xd_Signature">
    <vt:bool>false</vt:bool>
  </property>
  <property fmtid="{D5CDD505-2E9C-101B-9397-08002B2CF9AE}" pid="12" name="TriggerFlowInfo">
    <vt:lpwstr/>
  </property>
  <property fmtid="{D5CDD505-2E9C-101B-9397-08002B2CF9AE}" pid="13" name="ComplianceAssetId">
    <vt:lpwstr/>
  </property>
  <property fmtid="{D5CDD505-2E9C-101B-9397-08002B2CF9AE}" pid="14" name="_ExtendedDescription">
    <vt:lpwstr/>
  </property>
</Properties>
</file>