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05A04CC" Type="http://schemas.openxmlformats.org/officeDocument/2006/relationships/officeDocument" Target="/word/document.xml" /><Relationship Id="coreR105A04CC" Type="http://schemas.openxmlformats.org/package/2006/relationships/metadata/core-properties" Target="/docProps/core.xml" /><Relationship Id="customR105A04CC"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pPr w:leftFromText="180" w:rightFromText="180" w:tblpX="1" w:tblpY="1" w:vertAnchor="text" w:tblpXSpec="center"/>
        <w:tblOverlap w:val="never"/>
        <w:tblW w:w="0" w:type="auto"/>
        <w:tblLayout w:type="fixed"/>
      </w:tblPr>
      <w:tblGrid/>
      <w:tr>
        <w:trPr>
          <w:cantSplit/>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sz w:val="22"/>
              </w:rPr>
            </w:pPr>
            <w:bookmarkStart w:id="0" w:name="_GoBack"/>
            <w:bookmarkEnd w:id="0"/>
            <w:r>
              <w:rPr>
                <w:sz w:val="22"/>
              </w:rPr>
              <w:t>Version</w:t>
            </w:r>
          </w:p>
        </w:tc>
        <w:tc>
          <w:tcPr>
            <w:tcW w:w="1980" w:type="dxa"/>
            <w:tcBorders>
              <w:top w:val="double" w:sz="6" w:space="0" w:shadow="0" w:frame="0"/>
              <w:left w:val="single" w:sz="6" w:space="0" w:shadow="0" w:frame="0"/>
              <w:bottom w:val="single" w:sz="6" w:space="0" w:shadow="0" w:frame="0"/>
              <w:right w:val="single" w:sz="6" w:space="0" w:shadow="0" w:frame="0"/>
            </w:tcBorders>
          </w:tcPr>
          <w:p>
            <w:pPr>
              <w:pStyle w:val="P47"/>
              <w:rPr>
                <w:sz w:val="22"/>
              </w:rPr>
            </w:pPr>
            <w:r>
              <w:rPr>
                <w:sz w:val="22"/>
              </w:rPr>
              <w:t>Date</w:t>
            </w:r>
          </w:p>
        </w:tc>
        <w:tc>
          <w:tcPr>
            <w:tcW w:w="5863" w:type="dxa"/>
            <w:tcBorders>
              <w:top w:val="double" w:sz="6" w:space="0" w:shadow="0" w:frame="0"/>
              <w:left w:val="single" w:sz="6" w:space="0" w:shadow="0" w:frame="0"/>
              <w:bottom w:val="single" w:sz="6" w:space="0" w:shadow="0" w:frame="0"/>
              <w:right w:val="double" w:sz="6" w:space="0" w:shadow="0" w:frame="0"/>
            </w:tcBorders>
          </w:tcPr>
          <w:p>
            <w:pPr>
              <w:pStyle w:val="P47"/>
              <w:rPr>
                <w:sz w:val="22"/>
              </w:rPr>
            </w:pPr>
            <w:r>
              <w:rPr>
                <w:sz w:val="22"/>
              </w:rPr>
              <w:t>Description of Revisions</w:t>
            </w:r>
          </w:p>
        </w:tc>
      </w:tr>
      <w:tr>
        <w:trPr>
          <w:cantSplit/>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sz w:val="22"/>
              </w:rPr>
            </w:pPr>
            <w:r>
              <w:rPr>
                <w:sz w:val="22"/>
              </w:rPr>
              <w:t>1</w:t>
            </w:r>
          </w:p>
        </w:tc>
        <w:tc>
          <w:tcPr>
            <w:tcW w:w="1980" w:type="dxa"/>
            <w:tcBorders>
              <w:top w:val="single" w:sz="6" w:space="0" w:shadow="0" w:frame="0"/>
              <w:left w:val="single" w:sz="6" w:space="0" w:shadow="0" w:frame="0"/>
              <w:bottom w:val="single" w:sz="6" w:space="0" w:shadow="0" w:frame="0"/>
              <w:right w:val="single" w:sz="6" w:space="0" w:shadow="0" w:frame="0"/>
            </w:tcBorders>
          </w:tcPr>
          <w:p>
            <w:pPr>
              <w:pStyle w:val="P46"/>
              <w:rPr>
                <w:sz w:val="22"/>
              </w:rPr>
            </w:pPr>
            <w:r>
              <w:rPr>
                <w:sz w:val="22"/>
              </w:rPr>
              <w:t>March 21,2016</w:t>
            </w:r>
          </w:p>
        </w:tc>
        <w:tc>
          <w:tcPr>
            <w:tcW w:w="5863" w:type="dxa"/>
            <w:tcBorders>
              <w:top w:val="single" w:sz="6" w:space="0" w:shadow="0" w:frame="0"/>
              <w:left w:val="single" w:sz="6" w:space="0" w:shadow="0" w:frame="0"/>
              <w:bottom w:val="single" w:sz="6" w:space="0" w:shadow="0" w:frame="0"/>
              <w:right w:val="double" w:sz="6" w:space="0" w:shadow="0" w:frame="0"/>
            </w:tcBorders>
          </w:tcPr>
          <w:p>
            <w:pPr>
              <w:pStyle w:val="P46"/>
              <w:rPr>
                <w:sz w:val="22"/>
              </w:rPr>
            </w:pPr>
            <w:r>
              <w:rPr>
                <w:sz w:val="22"/>
              </w:rPr>
              <w:t>New spec based on 02200 and OPSS 503 (AAM)</w:t>
            </w:r>
          </w:p>
        </w:tc>
      </w:tr>
      <w:tr>
        <w:trPr>
          <w:cantSplit/>
        </w:trPr>
        <w:tc>
          <w:tcPr>
            <w:tcW w:w="1004" w:type="dxa"/>
            <w:tcBorders>
              <w:top w:val="single" w:sz="6" w:space="0" w:shadow="0" w:frame="0"/>
              <w:left w:val="double" w:sz="6" w:space="0" w:shadow="0" w:frame="0"/>
              <w:bottom w:val="double" w:sz="6" w:space="0" w:shadow="0" w:frame="0"/>
              <w:right w:val="single" w:sz="6" w:space="0" w:shadow="0" w:frame="0"/>
            </w:tcBorders>
          </w:tcPr>
          <w:p>
            <w:pPr>
              <w:pStyle w:val="P46"/>
              <w:rPr>
                <w:sz w:val="22"/>
              </w:rPr>
            </w:pPr>
            <w:r>
              <w:rPr>
                <w:sz w:val="22"/>
              </w:rPr>
              <w:t>2</w:t>
            </w:r>
          </w:p>
        </w:tc>
        <w:tc>
          <w:tcPr>
            <w:tcW w:w="1980" w:type="dxa"/>
            <w:tcBorders>
              <w:top w:val="single" w:sz="6" w:space="0" w:shadow="0" w:frame="0"/>
              <w:left w:val="single" w:sz="6" w:space="0" w:shadow="0" w:frame="0"/>
              <w:bottom w:val="double" w:sz="6" w:space="0" w:shadow="0" w:frame="0"/>
              <w:right w:val="single" w:sz="6" w:space="0" w:shadow="0" w:frame="0"/>
            </w:tcBorders>
          </w:tcPr>
          <w:p>
            <w:pPr>
              <w:pStyle w:val="P46"/>
              <w:rPr>
                <w:sz w:val="22"/>
              </w:rPr>
            </w:pPr>
            <w:r>
              <w:rPr>
                <w:sz w:val="22"/>
              </w:rPr>
              <w:t>May 2, 2016</w:t>
            </w:r>
          </w:p>
        </w:tc>
        <w:tc>
          <w:tcPr>
            <w:tcW w:w="5863" w:type="dxa"/>
            <w:tcBorders>
              <w:top w:val="single" w:sz="6" w:space="0" w:shadow="0" w:frame="0"/>
              <w:left w:val="single" w:sz="6" w:space="0" w:shadow="0" w:frame="0"/>
              <w:bottom w:val="double" w:sz="6" w:space="0" w:shadow="0" w:frame="0"/>
              <w:right w:val="double" w:sz="6" w:space="0" w:shadow="0" w:frame="0"/>
            </w:tcBorders>
          </w:tcPr>
          <w:p>
            <w:pPr>
              <w:pStyle w:val="P46"/>
              <w:rPr>
                <w:sz w:val="22"/>
              </w:rPr>
            </w:pPr>
            <w:r>
              <w:rPr>
                <w:sz w:val="22"/>
              </w:rPr>
              <w:t xml:space="preserve">Updated date reference for  OPSS 490 (AAM)</w:t>
            </w:r>
          </w:p>
        </w:tc>
      </w:tr>
    </w:tbl>
    <w:p>
      <w:pPr>
        <w:pStyle w:val="P1"/>
        <w:numPr>
          <w:ilvl w:val="0"/>
          <w:numId w:val="0"/>
        </w:numPr>
        <w:ind w:firstLine="0" w:left="720"/>
      </w:pPr>
    </w:p>
    <w:p>
      <w:pPr>
        <w:pStyle w:val="P10"/>
        <w:pBdr>
          <w:top w:val="single" w:sz="4" w:space="1" w:shadow="0" w:frame="0"/>
          <w:left w:val="single" w:sz="4" w:space="0" w:shadow="0" w:frame="0"/>
          <w:bottom w:val="single" w:sz="4" w:space="1" w:shadow="0" w:frame="0"/>
          <w:right w:val="single" w:sz="4" w:space="4" w:shadow="0" w:frame="0"/>
        </w:pBdr>
      </w:pPr>
      <w:r>
        <w:t>NOTE:</w:t>
      </w:r>
    </w:p>
    <w:p>
      <w:pPr>
        <w:pStyle w:val="P10"/>
        <w:pBdr>
          <w:top w:val="single" w:sz="4" w:space="1" w:shadow="0" w:frame="0"/>
          <w:left w:val="single" w:sz="4" w:space="0" w:shadow="0" w:frame="0"/>
          <w:bottom w:val="single" w:sz="4" w:space="1" w:shadow="0" w:frame="0"/>
          <w:right w:val="single" w:sz="4" w:space="4" w:shadow="0" w:frame="0"/>
        </w:pBdr>
      </w:pPr>
      <w: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pPr>
      <w:r>
        <w:rPr>
          <w:b w:val="1"/>
        </w:rPr>
        <w:t xml:space="preserve">Notice: </w:t>
      </w:r>
      <w: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b w:val="1"/>
        </w:rPr>
      </w:pPr>
      <w:r>
        <w:rPr>
          <w:b w:val="1"/>
        </w:rPr>
        <w:t>The on-line copy is the current version of the document.</w:t>
      </w:r>
    </w:p>
    <w:p>
      <w:pPr>
        <w:pStyle w:val="P10"/>
      </w:pPr>
    </w:p>
    <w:p/>
    <w:p/>
    <w:p>
      <w:pPr>
        <w:pStyle w:val="P1"/>
      </w:pPr>
      <w:r>
        <w:br w:type="page"/>
        <w:t>GEneral</w:t>
      </w:r>
    </w:p>
    <w:p>
      <w:pPr>
        <w:pStyle w:val="P2"/>
      </w:pPr>
      <w:r>
        <w:t>Related Sections</w:t>
      </w:r>
    </w:p>
    <w:p>
      <w:pPr>
        <w:pStyle w:val="P3"/>
        <w:numPr>
          <w:ilvl w:val="2"/>
          <w:numId w:val="0"/>
        </w:numPr>
        <w:ind w:firstLine="0" w:left="720"/>
        <w:rPr>
          <w:i w:val="1"/>
          <w:highlight w:val="yellow"/>
        </w:rPr>
      </w:pPr>
      <w:r>
        <w:rPr>
          <w:i w:val="1"/>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Contractor is responsible for coordination of the Work. Contractor is responsible for being familiar with and incorporating all required elements of cross-referenced Specifications cited.</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[List Sections specifying installation of products supplied but not installed under this Section and indicate specific items.]</w:t>
      </w:r>
    </w:p>
    <w:p>
      <w:pPr>
        <w:pStyle w:val="P3"/>
      </w:pPr>
      <w:r>
        <w:t xml:space="preserve">Section </w:t>
      </w:r>
      <w:r>
        <w:rPr>
          <w:highlight w:val="yellow"/>
        </w:rPr>
        <w:t>[______ – ____________]:</w:t>
      </w:r>
      <w:r>
        <w:t xml:space="preserve">  Execution requirements for </w:t>
      </w:r>
      <w:r>
        <w:rPr>
          <w:highlight w:val="yellow"/>
        </w:rPr>
        <w:t>...[item]...</w:t>
      </w:r>
      <w:r>
        <w:t xml:space="preserve">  specified under this Section.</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[List Sections specifying products installed but not supplied under this Section and indicate specific items.]</w:t>
      </w:r>
    </w:p>
    <w:p>
      <w:pPr>
        <w:pStyle w:val="P3"/>
      </w:pPr>
      <w:r>
        <w:t xml:space="preserve">Section </w:t>
      </w:r>
      <w:r>
        <w:rPr>
          <w:highlight w:val="yellow"/>
        </w:rPr>
        <w:t>[______ – ____________]:</w:t>
      </w:r>
      <w:r>
        <w:t xml:space="preserve">  Product requirements for </w:t>
      </w:r>
      <w:r>
        <w:rPr>
          <w:highlight w:val="yellow"/>
        </w:rPr>
        <w:t>...[item]...</w:t>
      </w:r>
      <w:r>
        <w:t xml:space="preserve">  for installation under this Section.</w:t>
      </w:r>
    </w:p>
    <w:p>
      <w:pPr>
        <w:pStyle w:val="P3"/>
        <w:numPr>
          <w:ilvl w:val="2"/>
          <w:numId w:val="0"/>
        </w:numPr>
        <w:ind w:firstLine="0" w:left="720"/>
        <w:rPr>
          <w:i w:val="1"/>
          <w:highlight w:val="yellow"/>
        </w:rPr>
      </w:pPr>
    </w:p>
    <w:p>
      <w:pPr>
        <w:pStyle w:val="P3"/>
        <w:numPr>
          <w:ilvl w:val="2"/>
          <w:numId w:val="0"/>
        </w:numPr>
        <w:ind w:firstLine="0" w:left="720"/>
        <w:rPr>
          <w:i w:val="1"/>
        </w:rPr>
      </w:pPr>
      <w:r>
        <w:rPr>
          <w:i w:val="1"/>
          <w:highlight w:val="yellow"/>
        </w:rPr>
        <w:t>[List Sections specifying related requirements.]</w:t>
      </w:r>
    </w:p>
    <w:p>
      <w:pPr>
        <w:pStyle w:val="P3"/>
        <w:tabs>
          <w:tab w:val="left" w:pos="1440" w:leader="none"/>
        </w:tabs>
        <w:ind w:left="1440"/>
      </w:pPr>
      <w:r>
        <w:t xml:space="preserve">Section </w:t>
      </w:r>
      <w:r>
        <w:rPr>
          <w:highlight w:val="yellow"/>
        </w:rPr>
        <w:t xml:space="preserve">[______ – ____________]:  [Optional short phrase indicating relationship].</w:t>
      </w:r>
    </w:p>
    <w:p>
      <w:pPr>
        <w:pStyle w:val="P4"/>
        <w:rPr>
          <w:highlight w:val="yellow"/>
        </w:rPr>
      </w:pPr>
      <w:r>
        <w:rPr>
          <w:highlight w:val="yellow"/>
        </w:rPr>
        <w:t>Section 01550 – Traffic Control</w:t>
      </w:r>
    </w:p>
    <w:p>
      <w:pPr>
        <w:pStyle w:val="P4"/>
        <w:rPr>
          <w:highlight w:val="yellow"/>
        </w:rPr>
      </w:pPr>
      <w:r>
        <w:rPr>
          <w:highlight w:val="yellow"/>
        </w:rPr>
        <w:t>Section 01561 – Environmental Protection</w:t>
      </w:r>
    </w:p>
    <w:p>
      <w:pPr>
        <w:pStyle w:val="P4"/>
        <w:rPr>
          <w:highlight w:val="yellow"/>
        </w:rPr>
      </w:pPr>
      <w:r>
        <w:rPr>
          <w:highlight w:val="yellow"/>
        </w:rPr>
        <w:t>Section 01571 – Temporary Erosion and Sediment Controls</w:t>
      </w:r>
    </w:p>
    <w:p>
      <w:pPr>
        <w:pStyle w:val="P4"/>
        <w:rPr>
          <w:highlight w:val="yellow"/>
        </w:rPr>
      </w:pPr>
      <w:r>
        <w:rPr>
          <w:highlight w:val="yellow"/>
        </w:rPr>
        <w:t>Section 02310 – Grading</w:t>
      </w:r>
    </w:p>
    <w:p>
      <w:pPr>
        <w:pStyle w:val="P4"/>
        <w:rPr>
          <w:highlight w:val="yellow"/>
        </w:rPr>
      </w:pPr>
      <w:r>
        <w:rPr>
          <w:highlight w:val="yellow"/>
        </w:rPr>
        <w:t>Section 02911 – Topsoil</w:t>
      </w:r>
    </w:p>
    <w:p>
      <w:pPr>
        <w:pStyle w:val="P2"/>
      </w:pPr>
      <w:r>
        <w:t>References</w:t>
      </w:r>
    </w:p>
    <w:p>
      <w:pPr>
        <w:pStyle w:val="P3"/>
      </w:pPr>
      <w:r>
        <w:t>Ontario Provincial Standards and Specifications (OPSS)</w:t>
      </w:r>
    </w:p>
    <w:p>
      <w:pPr>
        <w:pStyle w:val="P4"/>
      </w:pPr>
      <w:r>
        <w:t>OPSS 490 (Apr 2016) Site Preparation for Pipelines, Utilities and Associated Structures</w:t>
      </w:r>
    </w:p>
    <w:p>
      <w:pPr>
        <w:pStyle w:val="P2"/>
        <w:numPr>
          <w:ilvl w:val="1"/>
          <w:numId w:val="15"/>
        </w:numPr>
      </w:pPr>
      <w:r>
        <w:t>Measurement and Payment</w:t>
      </w:r>
    </w:p>
    <w:p>
      <w:pPr>
        <w:pStyle w:val="P3"/>
      </w:pPr>
      <w:r>
        <w:t xml:space="preserve">Payment at the Contract price for the appropriate tender items for the installation of sanitary and storm pipe sewers, pipe culverts and end sections, forcemains and associated appurtenances, watermains and associated appurtenances, and other underground Utilities; maintenance holes, catch basins, ditch inlets, or valve chambers; and any other specified subsurface construction shall be full compensation for all labour, Equipment, and Material to do the work of site preparation. </w:t>
      </w:r>
    </w:p>
    <w:p>
      <w:pPr>
        <w:pStyle w:val="P3"/>
      </w:pPr>
      <w:r>
        <w:t>When the Contract contains separate items for work required by this specification, payment shall be at the Contract prices and according to the specifications for such work.</w:t>
      </w:r>
    </w:p>
    <w:p>
      <w:pPr>
        <w:pStyle w:val="P1"/>
      </w:pPr>
      <w:r>
        <w:rPr>
          <w:color w:val="000000"/>
        </w:rPr>
        <w:t xml:space="preserve"> </w:t>
      </w:r>
      <w:r>
        <w:t>PRODUCTS (NOT USED)</w:t>
      </w:r>
    </w:p>
    <w:p>
      <w:pPr>
        <w:pStyle w:val="P1"/>
      </w:pPr>
      <w:r>
        <w:t>EXECUTION</w:t>
      </w:r>
    </w:p>
    <w:p>
      <w:pPr>
        <w:pStyle w:val="P2"/>
        <w:rPr>
          <w:u w:val="none"/>
        </w:rPr>
      </w:pPr>
      <w:r>
        <w:rPr>
          <w:u w:val="none"/>
        </w:rPr>
        <w:t>OPSS 490 shall be followed with the following amendments:</w:t>
      </w:r>
    </w:p>
    <w:p>
      <w:pPr>
        <w:pStyle w:val="P3"/>
        <w:tabs>
          <w:tab w:val="left" w:pos="720" w:leader="none"/>
        </w:tabs>
        <w:spacing w:before="120" w:beforeAutospacing="0" w:afterAutospacing="0"/>
        <w:ind w:left="720"/>
        <w:rPr>
          <w:b w:val="1"/>
          <w:lang w:eastAsia="en-CA"/>
        </w:rPr>
      </w:pPr>
      <w:r>
        <w:rPr>
          <w:b w:val="1"/>
          <w:lang w:eastAsia="en-CA"/>
        </w:rPr>
        <w:t>490.07</w:t>
        <w:tab/>
        <w:t xml:space="preserve"> CONSTRUCTION</w:t>
      </w:r>
    </w:p>
    <w:p>
      <w:pPr>
        <w:pStyle w:val="P4"/>
        <w:tabs>
          <w:tab w:val="left" w:pos="1530" w:leader="none"/>
          <w:tab w:val="clear" w:pos="2160" w:leader="none"/>
        </w:tabs>
        <w:spacing w:before="120" w:beforeAutospacing="0" w:afterAutospacing="0"/>
        <w:ind w:left="1526"/>
        <w:rPr>
          <w:lang w:eastAsia="en-CA"/>
        </w:rPr>
      </w:pPr>
      <w:r>
        <w:rPr>
          <w:b w:val="1"/>
          <w:lang w:eastAsia="en-CA"/>
        </w:rPr>
        <w:t>490.07.01 General</w:t>
      </w:r>
      <w:r>
        <w:rPr>
          <w:lang w:eastAsia="en-CA"/>
        </w:rPr>
        <w:t xml:space="preserve"> is amended by the addition of the following:</w:t>
      </w:r>
    </w:p>
    <w:p>
      <w:pPr>
        <w:pStyle w:val="P5"/>
        <w:rPr>
          <w:sz w:val="22"/>
        </w:rPr>
      </w:pPr>
      <w:r>
        <w:rPr>
          <w:sz w:val="22"/>
        </w:rPr>
        <w:t xml:space="preserve">Obtain the Consultant’s approval of all staked clearing, grubbing, and stripping limits prior to commencing any clearing, grubbing, and stripping. </w:t>
      </w:r>
    </w:p>
    <w:p>
      <w:pPr>
        <w:pStyle w:val="P5"/>
        <w:rPr>
          <w:sz w:val="22"/>
        </w:rPr>
      </w:pPr>
      <w:r>
        <w:rPr>
          <w:sz w:val="22"/>
        </w:rPr>
        <w:t xml:space="preserve">Prepare the Site only after adequate erosion and sediment controls are in place in accordance with </w:t>
      </w:r>
      <w:r>
        <w:rPr>
          <w:sz w:val="22"/>
          <w:highlight w:val="yellow"/>
        </w:rPr>
        <w:t>Section 01571 – Temporary Erosion and Sediment Controls</w:t>
      </w:r>
      <w:r>
        <w:rPr>
          <w:sz w:val="22"/>
        </w:rPr>
        <w:t xml:space="preserve">.  Limit exposed areas which are uncontrolled from erosion, during the installation of the temporary erosion and sediment controls.</w:t>
      </w:r>
    </w:p>
    <w:p>
      <w:pPr>
        <w:pStyle w:val="P5"/>
        <w:rPr>
          <w:sz w:val="22"/>
        </w:rPr>
      </w:pPr>
      <w:r>
        <w:rPr>
          <w:sz w:val="22"/>
        </w:rPr>
        <w:t xml:space="preserve">Clearing and grubbing operations shall be carried out within the limits of the Site shown on the Drawings, and those areas may also be used by Other Contractors.  This Work shall be carried out before the time frame indicated for occupation of these areas by Other Contractors. </w:t>
      </w:r>
    </w:p>
    <w:p>
      <w:pPr>
        <w:pStyle w:val="P5"/>
        <w:rPr>
          <w:sz w:val="22"/>
        </w:rPr>
      </w:pPr>
      <w:r>
        <w:rPr>
          <w:sz w:val="22"/>
        </w:rPr>
        <w:t xml:space="preserve">Clear, grub, and strip areas within the limits shown or specified in the Contract Documents. </w:t>
      </w:r>
    </w:p>
    <w:p>
      <w:pPr>
        <w:pStyle w:val="P5"/>
        <w:rPr>
          <w:sz w:val="22"/>
        </w:rPr>
      </w:pPr>
      <w:r>
        <w:rPr>
          <w:sz w:val="22"/>
        </w:rPr>
        <w:t xml:space="preserve">Any boulders encountered during Site preparation and earthworks shall be moved and placed </w:t>
      </w:r>
      <w:r>
        <w:rPr>
          <w:i w:val="1"/>
          <w:sz w:val="22"/>
          <w:highlight w:val="yellow"/>
        </w:rPr>
        <w:t>Consultant to list location</w:t>
      </w:r>
      <w:r>
        <w:rPr>
          <w:sz w:val="22"/>
        </w:rPr>
        <w:t>] as directed by the Consultant.</w:t>
      </w:r>
    </w:p>
    <w:p>
      <w:pPr>
        <w:pStyle w:val="P5"/>
        <w:rPr>
          <w:sz w:val="22"/>
        </w:rPr>
      </w:pPr>
      <w:r>
        <w:rPr>
          <w:sz w:val="22"/>
        </w:rPr>
        <w:t>Bring to the attention of the Consultant any wells encountered during earthworks.</w:t>
      </w:r>
    </w:p>
    <w:p>
      <w:pPr>
        <w:pStyle w:val="P4"/>
        <w:tabs>
          <w:tab w:val="left" w:pos="1530" w:leader="none"/>
          <w:tab w:val="clear" w:pos="2160" w:leader="none"/>
        </w:tabs>
        <w:spacing w:before="120" w:beforeAutospacing="0" w:afterAutospacing="0"/>
        <w:ind w:left="1526"/>
        <w:rPr>
          <w:lang w:eastAsia="en-CA"/>
        </w:rPr>
      </w:pPr>
      <w:r>
        <w:rPr>
          <w:b w:val="1"/>
          <w:lang w:eastAsia="en-CA"/>
        </w:rPr>
        <w:t>490.07.03 Clearing and Grubbing</w:t>
      </w:r>
      <w:r>
        <w:rPr>
          <w:lang w:eastAsia="en-CA"/>
        </w:rPr>
        <w:t xml:space="preserve"> is amended by the addition of the following:</w:t>
      </w:r>
    </w:p>
    <w:p>
      <w:pPr>
        <w:pStyle w:val="P5"/>
        <w:rPr>
          <w:sz w:val="22"/>
          <w:u w:val="single"/>
        </w:rPr>
      </w:pPr>
      <w:r>
        <w:rPr>
          <w:sz w:val="22"/>
          <w:u w:val="single"/>
        </w:rPr>
        <w:t>Limits</w:t>
      </w:r>
    </w:p>
    <w:p>
      <w:pPr>
        <w:pStyle w:val="P6"/>
        <w:rPr>
          <w:sz w:val="22"/>
        </w:rPr>
      </w:pPr>
      <w:r>
        <w:rPr>
          <w:sz w:val="22"/>
        </w:rPr>
        <w:t>The clearing and grubbing limits are as follows, but shall not extend beyond the limits of the Site.</w:t>
      </w:r>
    </w:p>
    <w:p>
      <w:pPr>
        <w:pStyle w:val="P7"/>
        <w:rPr>
          <w:sz w:val="22"/>
        </w:rPr>
      </w:pPr>
      <w:r>
        <w:rPr>
          <w:sz w:val="22"/>
        </w:rPr>
        <w:t>Excavation Excluding Trenches: 1.5 metres beyond the top of cut slopes.</w:t>
      </w:r>
    </w:p>
    <w:p>
      <w:pPr>
        <w:pStyle w:val="P7"/>
        <w:rPr>
          <w:sz w:val="22"/>
        </w:rPr>
      </w:pPr>
      <w:r>
        <w:rPr>
          <w:sz w:val="22"/>
        </w:rPr>
        <w:t>Trench Excavation: 1.2 metres from the trench centerline, regardless of the actual trench width.</w:t>
      </w:r>
    </w:p>
    <w:p>
      <w:pPr>
        <w:pStyle w:val="P7"/>
        <w:rPr>
          <w:sz w:val="22"/>
        </w:rPr>
      </w:pPr>
      <w:r>
        <w:rPr>
          <w:sz w:val="22"/>
        </w:rPr>
        <w:t>Grading areas as shown on the Drawings and as required in order to place fill:</w:t>
      </w:r>
    </w:p>
    <w:p>
      <w:pPr>
        <w:pStyle w:val="P8"/>
        <w:rPr>
          <w:sz w:val="22"/>
        </w:rPr>
      </w:pPr>
      <w:r>
        <w:rPr>
          <w:sz w:val="22"/>
        </w:rPr>
        <w:t>Clearing and Grubbing: 1.5 metres beyond the toe of the permanent fill.</w:t>
      </w:r>
    </w:p>
    <w:p>
      <w:pPr>
        <w:pStyle w:val="P8"/>
        <w:rPr>
          <w:sz w:val="22"/>
        </w:rPr>
      </w:pPr>
      <w:r>
        <w:rPr>
          <w:sz w:val="22"/>
        </w:rPr>
        <w:t>Stripping and Scalping: 0.6 metres beyond the toe of the permanent fill.</w:t>
      </w:r>
    </w:p>
    <w:p>
      <w:pPr>
        <w:pStyle w:val="P5"/>
        <w:rPr>
          <w:sz w:val="22"/>
        </w:rPr>
      </w:pPr>
      <w:r>
        <w:rPr>
          <w:sz w:val="22"/>
        </w:rPr>
        <w:t>Remove all boulders, fences, rubbish, trash, and junk from the entire area within the limits of the Site.</w:t>
      </w:r>
    </w:p>
    <w:p>
      <w:pPr>
        <w:pStyle w:val="P5"/>
        <w:rPr>
          <w:sz w:val="22"/>
        </w:rPr>
      </w:pPr>
      <w:r>
        <w:rPr>
          <w:sz w:val="22"/>
        </w:rPr>
        <w:t>Fall trees so that they fall away from any facilities and vegetation which are not designated for removal.</w:t>
      </w:r>
    </w:p>
    <w:p>
      <w:pPr>
        <w:pStyle w:val="P5"/>
        <w:rPr>
          <w:sz w:val="22"/>
        </w:rPr>
      </w:pPr>
      <w:r>
        <w:rPr>
          <w:sz w:val="22"/>
        </w:rPr>
        <w:t>Cut stumps which are not designated for grubbing flush with the ground surface.</w:t>
      </w:r>
    </w:p>
    <w:p>
      <w:pPr>
        <w:pStyle w:val="P5"/>
        <w:rPr>
          <w:sz w:val="22"/>
        </w:rPr>
      </w:pPr>
      <w:r>
        <w:rPr>
          <w:sz w:val="22"/>
        </w:rPr>
        <w:t>Cut off shrubs, brush, weeds, and grasses to within 50 mm of the ground surface.</w:t>
      </w:r>
    </w:p>
    <w:p>
      <w:pPr>
        <w:pStyle w:val="P4"/>
        <w:tabs>
          <w:tab w:val="left" w:pos="1530" w:leader="none"/>
          <w:tab w:val="clear" w:pos="2160" w:leader="none"/>
        </w:tabs>
        <w:spacing w:before="120" w:beforeAutospacing="0" w:afterAutospacing="0"/>
        <w:ind w:left="1526"/>
        <w:rPr>
          <w:lang w:eastAsia="en-CA"/>
        </w:rPr>
      </w:pPr>
      <w:r>
        <w:rPr>
          <w:b w:val="1"/>
          <w:lang w:eastAsia="en-CA"/>
        </w:rPr>
        <w:t>490.07.05 Tree Protection and Pruning</w:t>
      </w:r>
      <w:r>
        <w:rPr>
          <w:lang w:eastAsia="en-CA"/>
        </w:rPr>
        <w:t xml:space="preserve"> is amended by the addition of the following:</w:t>
      </w:r>
    </w:p>
    <w:p>
      <w:pPr>
        <w:pStyle w:val="P5"/>
        <w:rPr>
          <w:sz w:val="22"/>
        </w:rPr>
      </w:pPr>
      <w:r>
        <w:rPr>
          <w:sz w:val="22"/>
        </w:rPr>
        <w:t>Do not injure or deface vegetation that is not designated for removal.</w:t>
      </w:r>
    </w:p>
    <w:p>
      <w:pPr>
        <w:pStyle w:val="P5"/>
        <w:rPr>
          <w:sz w:val="22"/>
        </w:rPr>
      </w:pPr>
      <w:r>
        <w:rPr>
          <w:sz w:val="22"/>
        </w:rPr>
        <w:t xml:space="preserve">Trees and plantings not designated for removal shall be protected at all times during the course of the Work as per </w:t>
      </w:r>
      <w:r>
        <w:rPr>
          <w:sz w:val="22"/>
          <w:highlight w:val="yellow"/>
        </w:rPr>
        <w:t>Section 01561 - Environmental Protection.</w:t>
      </w:r>
    </w:p>
    <w:p>
      <w:pPr>
        <w:pStyle w:val="P5"/>
        <w:rPr>
          <w:sz w:val="22"/>
        </w:rPr>
      </w:pPr>
      <w:r>
        <w:rPr>
          <w:sz w:val="22"/>
        </w:rPr>
        <w:t>Tree Removal Outside Clearing Limits</w:t>
      </w:r>
    </w:p>
    <w:p>
      <w:pPr>
        <w:pStyle w:val="P6"/>
        <w:rPr>
          <w:sz w:val="22"/>
        </w:rPr>
      </w:pPr>
      <w:r>
        <w:rPr>
          <w:sz w:val="22"/>
        </w:rPr>
        <w:t>With the Consultant’s approval, remove within the limits of the Site:</w:t>
      </w:r>
    </w:p>
    <w:p>
      <w:pPr>
        <w:pStyle w:val="P7"/>
        <w:rPr>
          <w:sz w:val="22"/>
        </w:rPr>
      </w:pPr>
      <w:r>
        <w:rPr>
          <w:sz w:val="22"/>
        </w:rPr>
        <w:t xml:space="preserve">Dead, dying, leaning, or otherwise unsound trees that may strike and injure workers and/or damage new facilities if they were to fall. </w:t>
      </w:r>
    </w:p>
    <w:p>
      <w:pPr>
        <w:pStyle w:val="P6"/>
        <w:rPr>
          <w:sz w:val="22"/>
        </w:rPr>
      </w:pPr>
      <w:r>
        <w:rPr>
          <w:sz w:val="22"/>
        </w:rPr>
        <w:t>Cut stumps off flush with the ground, remove debris, and if disturbed, restore the surrounding area to its original condition prior to the commencement of the Work.</w:t>
      </w:r>
    </w:p>
    <w:p>
      <w:pPr>
        <w:pStyle w:val="P5"/>
        <w:rPr>
          <w:i w:val="1"/>
          <w:sz w:val="22"/>
          <w:highlight w:val="yellow"/>
        </w:rPr>
      </w:pPr>
      <w:r>
        <w:rPr>
          <w:i w:val="1"/>
          <w:sz w:val="22"/>
          <w:highlight w:val="yellow"/>
        </w:rPr>
        <w:t>[Note to Consultant: Sections to consider for inclusion:</w:t>
      </w:r>
    </w:p>
    <w:p>
      <w:pPr>
        <w:pStyle w:val="P6"/>
        <w:rPr>
          <w:i w:val="1"/>
          <w:sz w:val="22"/>
          <w:highlight w:val="yellow"/>
        </w:rPr>
      </w:pPr>
      <w:r>
        <w:rPr>
          <w:i w:val="1"/>
          <w:sz w:val="22"/>
          <w:highlight w:val="yellow"/>
        </w:rPr>
        <w:t>TEMPORARY REMOVAL OF INTERFERING PLANTINGS</w:t>
      </w:r>
    </w:p>
    <w:p>
      <w:pPr>
        <w:pStyle w:val="P7"/>
        <w:rPr>
          <w:i w:val="1"/>
          <w:sz w:val="22"/>
          <w:highlight w:val="yellow"/>
        </w:rPr>
      </w:pPr>
      <w:r>
        <w:rPr>
          <w:i w:val="1"/>
          <w:sz w:val="22"/>
          <w:highlight w:val="yellow"/>
        </w:rPr>
        <w:t>Remove and store, as specified in Section 02930, Trees, Shrubs and Ground Covers, shrubs and trees that are not designated for removal but do interfere with construction or could be damaged by construction activities.</w:t>
      </w:r>
    </w:p>
    <w:p>
      <w:pPr>
        <w:pStyle w:val="P7"/>
        <w:rPr>
          <w:i w:val="1"/>
          <w:sz w:val="22"/>
          <w:highlight w:val="yellow"/>
        </w:rPr>
      </w:pPr>
      <w:r>
        <w:rPr>
          <w:i w:val="1"/>
          <w:sz w:val="22"/>
          <w:highlight w:val="yellow"/>
        </w:rPr>
        <w:t>Photograph and document location, orientation, and condition of each plant prior to its removal. Record sufficient information to uniquely identify each plant removed and to assure accurate replacement.]</w:t>
      </w:r>
    </w:p>
    <w:p>
      <w:pPr>
        <w:pStyle w:val="P4"/>
        <w:tabs>
          <w:tab w:val="left" w:pos="1530" w:leader="none"/>
          <w:tab w:val="clear" w:pos="2160" w:leader="none"/>
        </w:tabs>
        <w:spacing w:before="120" w:beforeAutospacing="0" w:afterAutospacing="0"/>
        <w:ind w:left="1526"/>
        <w:rPr>
          <w:lang w:eastAsia="en-CA"/>
        </w:rPr>
      </w:pPr>
      <w:r>
        <w:rPr>
          <w:b w:val="1"/>
          <w:lang w:eastAsia="en-CA"/>
        </w:rPr>
        <w:t>490.07.06 Stripping and Stockpiling Topsoil</w:t>
      </w:r>
      <w:r>
        <w:rPr>
          <w:lang w:eastAsia="en-CA"/>
        </w:rPr>
        <w:t xml:space="preserve"> is amended by the addition of the following:</w:t>
      </w:r>
    </w:p>
    <w:p>
      <w:pPr>
        <w:pStyle w:val="P5"/>
        <w:rPr>
          <w:sz w:val="22"/>
          <w:u w:val="single"/>
        </w:rPr>
      </w:pPr>
      <w:r>
        <w:rPr>
          <w:sz w:val="22"/>
          <w:u w:val="single"/>
        </w:rPr>
        <w:t>Scalping</w:t>
      </w:r>
    </w:p>
    <w:p>
      <w:pPr>
        <w:pStyle w:val="P6"/>
        <w:rPr>
          <w:sz w:val="22"/>
        </w:rPr>
      </w:pPr>
      <w:r>
        <w:rPr>
          <w:sz w:val="22"/>
        </w:rPr>
        <w:t>Do not remove sod until after all tree removal is completed and any resulting debris is removed.</w:t>
      </w:r>
    </w:p>
    <w:p>
      <w:pPr>
        <w:pStyle w:val="P6"/>
        <w:rPr>
          <w:sz w:val="22"/>
        </w:rPr>
      </w:pPr>
      <w:r>
        <w:rPr>
          <w:sz w:val="22"/>
        </w:rPr>
        <w:t>Scalp areas within the limits shown or specified in the Contract Documents</w:t>
      </w:r>
    </w:p>
    <w:p>
      <w:pPr>
        <w:pStyle w:val="P5"/>
        <w:rPr>
          <w:sz w:val="22"/>
        </w:rPr>
      </w:pPr>
      <w:r>
        <w:rPr>
          <w:sz w:val="22"/>
        </w:rPr>
        <w:t>Do not remove any topsoil until after all scalping is completed.</w:t>
      </w:r>
    </w:p>
    <w:p>
      <w:pPr>
        <w:pStyle w:val="P5"/>
        <w:rPr>
          <w:sz w:val="22"/>
        </w:rPr>
      </w:pPr>
      <w:r>
        <w:rPr>
          <w:sz w:val="22"/>
        </w:rPr>
        <w:t xml:space="preserve">Strip any areas within the limits of the Site that are impacted by the Work.  Topsoil depths are indicated in the geotechnical investigation report, provided </w:t>
      </w:r>
      <w:r>
        <w:rPr>
          <w:i w:val="1"/>
          <w:sz w:val="22"/>
          <w:highlight w:val="yellow"/>
        </w:rPr>
        <w:t>[Note to Consultant- Confirm existence of Geotechnical report for this project]</w:t>
      </w:r>
      <w:r>
        <w:rPr>
          <w:sz w:val="22"/>
        </w:rPr>
        <w:t xml:space="preserve">.  The Contractor shall identify where depths vary more than 150 mm from those shown on the Contract Drawings. Do not remove any subsoil with topsoil. </w:t>
      </w:r>
    </w:p>
    <w:p>
      <w:pPr>
        <w:pStyle w:val="P5"/>
        <w:rPr>
          <w:sz w:val="22"/>
        </w:rPr>
      </w:pPr>
      <w:r>
        <w:rPr>
          <w:sz w:val="22"/>
        </w:rPr>
        <w:t xml:space="preserve">Stockpile all stripped topsoil separately from any other excavated material.  Topsoil shall not be placed in or near tree stands, along flood plains, and in areas containing natural wildlife habitats. Erect erosion and sediment controls round the stockpiles and construct perimeter drainage ditches in order to intercept and direct surface runoff to the settling pond(s) as per Section 01561 - Environmental Protection.  The Contractor is to provide an estimate of the topsoil stripped and stockpiled at the Site.</w:t>
      </w:r>
    </w:p>
    <w:p>
      <w:pPr>
        <w:pStyle w:val="P5"/>
        <w:rPr>
          <w:sz w:val="22"/>
        </w:rPr>
      </w:pPr>
      <w:r>
        <w:rPr>
          <w:sz w:val="22"/>
        </w:rPr>
        <w:t>Where the topsoil piles are to be retained for a period exceeding three months, they shall be surface treated (pre-germinated seed and mulch) in order to prevent erosion.</w:t>
      </w:r>
    </w:p>
    <w:p>
      <w:pPr>
        <w:pStyle w:val="P5"/>
      </w:pPr>
      <w:r>
        <w:rPr>
          <w:sz w:val="22"/>
        </w:rPr>
        <w:t>Disposal</w:t>
      </w:r>
    </w:p>
    <w:p>
      <w:pPr>
        <w:pStyle w:val="P6"/>
      </w:pPr>
      <w:r>
        <w:rPr>
          <w:sz w:val="22"/>
        </w:rPr>
        <w:t>Clearing and Grubbing Debris:</w:t>
      </w:r>
    </w:p>
    <w:p>
      <w:pPr>
        <w:pStyle w:val="P7"/>
      </w:pPr>
      <w:r>
        <w:rPr>
          <w:sz w:val="22"/>
        </w:rPr>
        <w:t>Debris may be buried in designated on-Site disposal areas to a minimum depth of 0.9 metres below the final grade. In lieu of on-Site burial, the Contractor may dispose of debris off-Site at its own expense.</w:t>
      </w:r>
    </w:p>
    <w:p>
      <w:pPr>
        <w:pStyle w:val="P7"/>
      </w:pPr>
      <w:r>
        <w:rPr>
          <w:sz w:val="22"/>
        </w:rPr>
        <w:t>Burning of debris on Site will not be allowed.</w:t>
      </w:r>
    </w:p>
    <w:p>
      <w:pPr>
        <w:pStyle w:val="P7"/>
      </w:pPr>
      <w:r>
        <w:rPr>
          <w:sz w:val="22"/>
        </w:rPr>
        <w:t>Limit off-Site disposal of clearing and grubbing debris to acceptable locations in accordance with OPSS 180 and the Environmental Protection Act.</w:t>
      </w:r>
    </w:p>
    <w:p>
      <w:pPr>
        <w:pStyle w:val="P6"/>
      </w:pPr>
      <w:r>
        <w:rPr>
          <w:sz w:val="22"/>
        </w:rPr>
        <w:t xml:space="preserve">Scalpings: </w:t>
      </w:r>
    </w:p>
    <w:p>
      <w:pPr>
        <w:pStyle w:val="P7"/>
      </w:pPr>
      <w:r>
        <w:rPr>
          <w:sz w:val="22"/>
        </w:rPr>
        <w:t>As specified for clearing and grubbing debris.</w:t>
      </w:r>
    </w:p>
    <w:p>
      <w:pPr>
        <w:pStyle w:val="P6"/>
      </w:pPr>
      <w:r>
        <w:rPr>
          <w:sz w:val="22"/>
        </w:rPr>
        <w:t>Stripping Topsoil:</w:t>
      </w:r>
    </w:p>
    <w:p>
      <w:pPr>
        <w:pStyle w:val="P7"/>
      </w:pPr>
      <w:r>
        <w:rPr>
          <w:sz w:val="22"/>
        </w:rPr>
        <w:t>All topsoil stripped from the Site shall be retained on-Site in stockpiles</w:t>
      </w:r>
      <w:r>
        <w:rPr>
          <w:i w:val="1"/>
          <w:sz w:val="22"/>
        </w:rPr>
        <w:t xml:space="preserve">. </w:t>
      </w:r>
      <w:r>
        <w:rPr>
          <w:i w:val="1"/>
          <w:sz w:val="22"/>
          <w:highlight w:val="yellow"/>
        </w:rPr>
        <w:t>[Consultant to confirm space availability on-site]</w:t>
      </w:r>
    </w:p>
    <w:p>
      <w:pPr>
        <w:pStyle w:val="P7"/>
      </w:pPr>
      <w:r>
        <w:rPr>
          <w:sz w:val="22"/>
        </w:rPr>
        <w:t xml:space="preserve">Dispose of any stripped material that is unsuitable for topsoil.  The disposal area shall also be on-Site.</w:t>
      </w:r>
    </w:p>
    <w:p>
      <w:pPr>
        <w:pStyle w:val="P7"/>
      </w:pPr>
      <w:r>
        <w:rPr>
          <w:sz w:val="22"/>
        </w:rPr>
        <w:t>Stockpile topsoil in a sufficient quantity to satisfy the Contract requirements and identify any surplus to the Consultant.</w:t>
      </w:r>
    </w:p>
    <w:p>
      <w:pPr>
        <w:pStyle w:val="P7"/>
      </w:pPr>
      <w:r>
        <w:rPr>
          <w:sz w:val="22"/>
        </w:rPr>
        <w:t xml:space="preserve">Surplus topsoil will be used on-Site by placing additional depths of topsoil to the minimum specified across the Site, as part of the general grading operations. Locations of additional depths of topsoil shall be directed by the Consultant. </w:t>
      </w:r>
    </w:p>
    <w:p>
      <w:pPr>
        <w:pStyle w:val="P7"/>
      </w:pPr>
      <w:r>
        <w:rPr>
          <w:sz w:val="22"/>
        </w:rPr>
        <w:t xml:space="preserve">Surplus topsoil, when identified by the Contractor, may, at the sole discretion of the Region, be removed from the Site by the Region for use by Other Contractors.  The Contractor shall cooperate with Other Contractors as directed by the Region for the removal of this material. </w:t>
      </w:r>
    </w:p>
    <w:p>
      <w:pPr>
        <w:pStyle w:val="P2"/>
      </w:pPr>
      <w:r>
        <w:t>Discovery of Wells on Site</w:t>
      </w:r>
    </w:p>
    <w:p>
      <w:pPr>
        <w:pStyle w:val="P3"/>
      </w:pPr>
      <w:r>
        <w:t>Where wells are discovered on-Site, the Contractor shall notify the Consultant.</w:t>
      </w:r>
    </w:p>
    <w:p>
      <w:pPr>
        <w:pStyle w:val="P3"/>
        <w:numPr>
          <w:ilvl w:val="2"/>
          <w:numId w:val="0"/>
        </w:numPr>
        <w:ind w:firstLine="0" w:left="630"/>
        <w:jc w:val="center"/>
        <w:rPr>
          <w:rStyle w:val="C18"/>
        </w:rPr>
      </w:pPr>
    </w:p>
    <w:p>
      <w:pPr>
        <w:pStyle w:val="P3"/>
        <w:numPr>
          <w:ilvl w:val="2"/>
          <w:numId w:val="0"/>
        </w:numPr>
        <w:ind w:firstLine="0" w:left="630"/>
        <w:jc w:val="center"/>
        <w:rPr>
          <w:rStyle w:val="C18"/>
        </w:rPr>
      </w:pPr>
    </w:p>
    <w:p>
      <w:pPr>
        <w:pStyle w:val="P3"/>
        <w:numPr>
          <w:ilvl w:val="2"/>
          <w:numId w:val="0"/>
        </w:numPr>
        <w:ind w:firstLine="0" w:left="630"/>
        <w:jc w:val="center"/>
        <w:rPr>
          <w:rStyle w:val="C18"/>
        </w:rPr>
      </w:pPr>
      <w:r>
        <w:rPr>
          <w:rStyle w:val="C18"/>
        </w:rPr>
        <w:t>END OF SECTION</w:t>
      </w:r>
    </w:p>
    <w:p>
      <w:pPr>
        <w:spacing w:lineRule="exact" w:line="220" w:before="9" w:beforeAutospacing="0" w:afterAutospacing="0"/>
      </w:pPr>
    </w:p>
    <w:p>
      <w:pPr>
        <w:spacing w:lineRule="exact" w:line="220" w:before="9" w:beforeAutospacing="0" w:afterAutospacing="0"/>
      </w:pPr>
    </w:p>
    <w:p>
      <w:pPr>
        <w:spacing w:lineRule="exact" w:line="240" w:beforeAutospacing="0" w:afterAutospacing="0"/>
      </w:pPr>
    </w:p>
    <w:p>
      <w:pPr>
        <w:spacing w:lineRule="exact" w:line="240" w:beforeAutospacing="0" w:afterAutospacing="0"/>
      </w:pPr>
    </w:p>
    <w:p>
      <w:pPr>
        <w:spacing w:lineRule="exact" w:line="240" w:beforeAutospacing="0" w:afterAutospacing="0"/>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720" w:right="720" w:top="1440" w:bottom="1170" w:header="720" w:footer="720" w:gutter="994"/>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pPr>
    <w:r>
      <w:t>CONTRACT NO</w:t>
    </w:r>
    <w:r>
      <w:rPr>
        <w:highlight w:val="lightGray"/>
      </w:rPr>
      <w:t>.... [Insert Region Number]</w:t>
    </w:r>
    <w:r>
      <w:tab/>
      <w:t>Section 02200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pPr>
    <w:r>
      <w:rPr>
        <w:b w:val="1"/>
      </w:rPr>
      <w:tab/>
      <w:t>SITE PREPARATION</w:t>
    </w:r>
    <w:r>
      <w:tab/>
      <w:t>2012-06-28</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pPr>
    <w:r>
      <w:t xml:space="preserve">DATE:  </w:t>
    </w:r>
    <w:r>
      <w:rPr>
        <w:highlight w:val="lightGray"/>
      </w:rPr>
      <w:t>[Insert Date, (e.g. Jan., 2000)]</w:t>
    </w:r>
    <w:r>
      <w:tab/>
      <w:tab/>
      <w:t xml:space="preserve">Page </w:t>
    </w:r>
    <w:r>
      <w:fldChar w:fldCharType="begin"/>
    </w:r>
    <w:r>
      <w:instrText xml:space="preserve">PAGE </w:instrText>
    </w:r>
    <w:r>
      <w:fldChar w:fldCharType="separate"/>
    </w:r>
    <w:r>
      <w:t>#</w:t>
    </w:r>
    <w:r>
      <w:fldChar w:fldCharType="end"/>
    </w:r>
    <w:r>
      <w:t xml:space="preserve"> of </w:t>
    </w:r>
    <w:r>
      <w:rPr>
        <w:rStyle w:val="C5"/>
        <w:caps w:val="1"/>
        <w:sz w:val="22"/>
      </w:rPr>
      <w:fldChar w:fldCharType="begin"/>
    </w:r>
    <w:r>
      <w:rPr>
        <w:rStyle w:val="C5"/>
        <w:caps w:val="1"/>
        <w:sz w:val="22"/>
      </w:rPr>
      <w:instrText xml:space="preserve"> NUMPAGES </w:instrText>
    </w:r>
    <w:r>
      <w:rPr>
        <w:rStyle w:val="C5"/>
        <w:caps w:val="1"/>
        <w:sz w:val="22"/>
      </w:rPr>
      <w:fldChar w:fldCharType="separate"/>
    </w:r>
    <w:r>
      <w:rPr>
        <w:rStyle w:val="C5"/>
        <w:caps w:val="1"/>
        <w:sz w:val="22"/>
      </w:rPr>
      <w:t>#</w:t>
    </w:r>
    <w:r>
      <w:rPr>
        <w:rStyle w:val="C5"/>
        <w:caps w:val="1"/>
        <w:sz w:val="22"/>
      </w:rPr>
      <w:fldChar w:fldCharType="end"/>
    </w:r>
  </w:p>
  <w:p>
    <w:pPr>
      <w:pStyle w:val="P23"/>
      <w:spacing w:after="240" w:beforeAutospacing="0" w:afterAutospacing="0"/>
    </w:pPr>
  </w:p>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t>CONTRACT NO</w:t>
    </w:r>
    <w:r>
      <w:rPr>
        <w:highlight w:val="yellow"/>
      </w:rPr>
      <w:t>. [Insert Region Number]</w:t>
    </w:r>
    <w:r>
      <w:tab/>
      <w:t>Section 02230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pPr>
    <w:r>
      <w:rPr>
        <w:b w:val="1"/>
      </w:rPr>
      <w:tab/>
      <w:t>SITE PREPARATION FOR PIPELINES, UTILITIES AND ASSOCIATED STRUCTURES</w:t>
    </w:r>
    <w:r>
      <w:tab/>
      <w:t>2016-05-02</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pPr>
    <w:r>
      <w:t xml:space="preserve">DATE:  </w:t>
    </w:r>
    <w:r>
      <w:rPr>
        <w:highlight w:val="yellow"/>
      </w:rPr>
      <w:t>[Insert Date, (e.g. Jan., 2000)]</w:t>
    </w:r>
    <w:r>
      <w:tab/>
      <w:tab/>
      <w:t xml:space="preserve">Page </w:t>
    </w:r>
    <w:r>
      <w:fldChar w:fldCharType="begin"/>
    </w:r>
    <w:r>
      <w:instrText xml:space="preserve">PAGE </w:instrText>
    </w:r>
    <w:r>
      <w:fldChar w:fldCharType="separate"/>
    </w:r>
    <w:r>
      <w:t>#</w:t>
    </w:r>
    <w:r>
      <w:fldChar w:fldCharType="end"/>
    </w:r>
    <w:r>
      <w:t xml:space="preserve"> </w:t>
    </w:r>
  </w:p>
  <w:p>
    <w:pPr>
      <w:pStyle w:val="P23"/>
      <w:spacing w:after="240" w:beforeAutospacing="0" w:afterAutospacing="0"/>
    </w:pPr>
  </w:p>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t>Section 02230</w:t>
      <w:tab/>
      <w:t>CONTRACT NO</w:t>
    </w:r>
    <w:r>
      <w:rPr>
        <w:highlight w:val="yellow"/>
      </w:rPr>
      <w:t>. [Insert Region Number]</w:t>
    </w:r>
    <w:r>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pPr>
    <w:r>
      <w:t>2016-05-02</w:t>
    </w:r>
    <w:r>
      <w:rPr>
        <w:b w:val="1"/>
      </w:rPr>
      <w:tab/>
      <w:t>SITE PREPARATION FOR PIPELINES, UTILITIES AND ASSOCIATED STRUCTURES</w:t>
    </w:r>
    <w:r>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pPr>
    <w:r>
      <w:t xml:space="preserve">Page </w:t>
    </w:r>
    <w:r>
      <w:fldChar w:fldCharType="begin"/>
    </w:r>
    <w:r>
      <w:instrText xml:space="preserve">PAGE </w:instrText>
    </w:r>
    <w:r>
      <w:fldChar w:fldCharType="separate"/>
    </w:r>
    <w:r>
      <w:t>#</w:t>
    </w:r>
    <w:r>
      <w:fldChar w:fldCharType="end"/>
    </w:r>
    <w:r>
      <w:t xml:space="preserve"> </w:t>
    </w:r>
    <w:r>
      <w:rPr>
        <w:rStyle w:val="C5"/>
        <w:caps w:val="1"/>
        <w:sz w:val="22"/>
      </w:rPr>
      <w:tab/>
      <w:tab/>
    </w:r>
    <w:r>
      <w:t xml:space="preserve">DATE:  </w:t>
    </w:r>
    <w:r>
      <w:rPr>
        <w:highlight w:val="yellow"/>
      </w:rPr>
      <w:t>[Insert Date, (e.g. Jan., 2000)]</w:t>
    </w:r>
    <w:r>
      <w:tab/>
      <w:tab/>
    </w:r>
  </w:p>
  <w:p>
    <w:pPr>
      <w:pStyle w:val="P23"/>
    </w:pPr>
  </w:p>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20915DC8">
      <w:start w:val="1"/>
      <w:numFmt w:val="decimal"/>
      <w:suff w:val="tab"/>
      <w:lvlText w:val="%1."/>
      <w:lvlJc w:val="left"/>
      <w:pPr/>
      <w:rPr/>
    </w:lvl>
    <w:lvl w:ilvl="2" w:tplc="59FB26B1">
      <w:start w:val="1"/>
      <w:numFmt w:val="decimal"/>
      <w:suff w:val="tab"/>
      <w:lvlText w:val="%1."/>
      <w:lvlJc w:val="left"/>
      <w:pPr/>
      <w:rPr/>
    </w:lvl>
    <w:lvl w:ilvl="3" w:tplc="4303E6C4">
      <w:start w:val="1"/>
      <w:numFmt w:val="decimal"/>
      <w:suff w:val="tab"/>
      <w:lvlText w:val="%1."/>
      <w:lvlJc w:val="left"/>
      <w:pPr/>
      <w:rPr/>
    </w:lvl>
    <w:lvl w:ilvl="4" w:tplc="7A256ECB">
      <w:start w:val="1"/>
      <w:numFmt w:val="decimal"/>
      <w:suff w:val="tab"/>
      <w:lvlText w:val="%1."/>
      <w:lvlJc w:val="left"/>
      <w:pPr/>
      <w:rPr/>
    </w:lvl>
    <w:lvl w:ilvl="5" w:tplc="2075AAEE">
      <w:start w:val="1"/>
      <w:numFmt w:val="decimal"/>
      <w:suff w:val="tab"/>
      <w:lvlText w:val="%1."/>
      <w:lvlJc w:val="left"/>
      <w:pPr/>
      <w:rPr/>
    </w:lvl>
    <w:lvl w:ilvl="6" w:tplc="3F4F88D6">
      <w:start w:val="1"/>
      <w:numFmt w:val="decimal"/>
      <w:suff w:val="tab"/>
      <w:lvlText w:val="%1."/>
      <w:lvlJc w:val="left"/>
      <w:pPr/>
      <w:rPr/>
    </w:lvl>
    <w:lvl w:ilvl="7" w:tplc="4544DF84">
      <w:start w:val="1"/>
      <w:numFmt w:val="decimal"/>
      <w:suff w:val="tab"/>
      <w:lvlText w:val="%1."/>
      <w:lvlJc w:val="left"/>
      <w:pPr/>
      <w:rPr/>
    </w:lvl>
    <w:lvl w:ilvl="8" w:tplc="4D604E3C">
      <w:start w:val="1"/>
      <w:numFmt w:val="decimal"/>
      <w:suff w:val="tab"/>
      <w:lvlText w:val="%1."/>
      <w:lvlJc w:val="left"/>
      <w:pPr/>
      <w:rPr/>
    </w:lvl>
  </w:abstractNum>
  <w:abstractNum w:abstractNumId="1">
    <w:nsid w:val="00000402"/>
    <w:multiLevelType w:val="multilevel"/>
    <w:lvl w:ilvl="0">
      <w:start w:val="1"/>
      <w:numFmt w:val="upperLetter"/>
      <w:suff w:val="tab"/>
      <w:lvlText w:val="%1."/>
      <w:lvlJc w:val="left"/>
      <w:pPr>
        <w:ind w:hanging="576"/>
      </w:pPr>
      <w:rPr>
        <w:rFonts w:ascii="Times New Roman" w:hAnsi="Times New Roman"/>
        <w:b w:val="0"/>
        <w:sz w:val="24"/>
      </w:rPr>
    </w:lvl>
    <w:lvl w:ilvl="1">
      <w:start w:val="1"/>
      <w:numFmt w:val="bullet"/>
      <w:suff w:val="tab"/>
      <w:lvlText w:val="•"/>
      <w:lvlJc w:val="left"/>
      <w:pPr/>
      <w:rPr/>
    </w:lvl>
    <w:lvl w:ilvl="2">
      <w:start w:val="1"/>
      <w:numFmt w:val="bullet"/>
      <w:suff w:val="tab"/>
      <w:lvlText w:val="•"/>
      <w:lvlJc w:val="left"/>
      <w:pPr/>
      <w:rPr/>
    </w:lvl>
    <w:lvl w:ilvl="3">
      <w:start w:val="1"/>
      <w:numFmt w:val="bullet"/>
      <w:suff w:val="tab"/>
      <w:lvlText w:val="•"/>
      <w:lvlJc w:val="left"/>
      <w:pPr/>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
    <w:nsid w:val="00000403"/>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3">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8">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350"/>
        <w:tabs>
          <w:tab w:val="left" w:pos="1350" w:leader="none"/>
        </w:tabs>
      </w:pPr>
      <w:rPr>
        <w:rFonts w:ascii="Calibri" w:hAnsi="Calibri"/>
        <w:b w:val="0"/>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pStyle w:val="P5"/>
      <w:suff w:val="tab"/>
      <w:lvlText w:val=".%5"/>
      <w:lvlJc w:val="left"/>
      <w:pPr>
        <w:ind w:hanging="720" w:left="2880"/>
        <w:tabs>
          <w:tab w:val="left" w:pos="2880" w:leader="none"/>
        </w:tabs>
      </w:pPr>
      <w:rPr>
        <w:rFonts w:ascii="Calibri" w:hAnsi="Calibri"/>
        <w:b w:val="0"/>
        <w:i w:val="0"/>
        <w:sz w:val="22"/>
      </w:rPr>
    </w:lvl>
    <w:lvl w:ilvl="5">
      <w:start w:val="1"/>
      <w:numFmt w:val="decimal"/>
      <w:pStyle w:val="P6"/>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pStyle w:val="P8"/>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9">
    <w:nsid w:val="50407D28"/>
    <w:multiLevelType w:val="multilevel"/>
    <w:lvl w:ilvl="0">
      <w:start w:val="1"/>
      <w:numFmt w:val="decimal"/>
      <w:suff w:val="tab"/>
      <w:lvlText w:val="PART %1."/>
      <w:lvlJc w:val="left"/>
      <w:pPr>
        <w:ind w:hanging="432" w:left="432"/>
        <w:tabs>
          <w:tab w:val="left" w:pos="432" w:leader="none"/>
        </w:tabs>
      </w:pPr>
      <w:rPr>
        <w:b w:val="0"/>
        <w:i w:val="0"/>
        <w:sz w:val="22"/>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b w:val="0"/>
        <w:i w:val="0"/>
        <w:caps w:val="0"/>
        <w:strike w:val="0"/>
        <w:noProof w:val="0"/>
        <w:vanish w:val="0"/>
        <w:u w:val="none"/>
        <w:vertAlign w:val="baseline"/>
      </w:rPr>
    </w:lvl>
    <w:lvl w:ilvl="3">
      <w:start w:val="1"/>
      <w:numFmt w:val="decimal"/>
      <w:suff w:val="tab"/>
      <w:lvlText w:val=".%4"/>
      <w:lvlJc w:val="left"/>
      <w:pPr>
        <w:ind w:firstLine="3456" w:left="864"/>
        <w:tabs>
          <w:tab w:val="left" w:pos="864" w:leader="none"/>
        </w:tabs>
      </w:pPr>
      <w:rPr/>
    </w:lvl>
    <w:lvl w:ilvl="4">
      <w:start w:val="1"/>
      <w:numFmt w:val="decimal"/>
      <w:suff w:val="tab"/>
      <w:lvlText w:val="%5."/>
      <w:lvlJc w:val="left"/>
      <w:pPr>
        <w:ind w:firstLine="4320" w:left="-810"/>
        <w:tabs>
          <w:tab w:val="left" w:pos="-810"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0">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1">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9"/>
  </w:num>
  <w:num w:numId="4">
    <w:abstractNumId w:val="5"/>
  </w:num>
  <w:num w:numId="5">
    <w:abstractNumId w:val="10"/>
  </w:num>
  <w:num w:numId="6">
    <w:abstractNumId w:val="4"/>
  </w:num>
  <w:num w:numId="7">
    <w:abstractNumId w:val="7"/>
  </w:num>
  <w:num w:numId="8">
    <w:abstractNumId w:val="3"/>
  </w:num>
  <w:num w:numId="9">
    <w:abstractNumId w:val="11"/>
  </w:num>
  <w:num w:numId="10">
    <w:abstractNumId w:val="6"/>
  </w:num>
  <w:num w:numId="11">
    <w:abstractNumId w:val="2"/>
  </w:num>
  <w:num w:numId="12">
    <w:abstractNumId w:val="1"/>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z w:val="22"/>
    </w:rPr>
  </w:style>
  <w:style w:type="paragraph" w:styleId="P1">
    <w:name w:val="heading 1"/>
    <w:basedOn w:val="P50"/>
    <w:link w:val="C9"/>
    <w:qFormat/>
    <w:pPr>
      <w:numPr>
        <w:numId w:val="23"/>
      </w:numPr>
      <w:spacing w:before="160" w:beforeAutospacing="0" w:afterAutospacing="0"/>
      <w:outlineLvl w:val="0"/>
    </w:pPr>
    <w:rPr>
      <w:caps w:val="1"/>
    </w:rPr>
  </w:style>
  <w:style w:type="paragraph" w:styleId="P2">
    <w:name w:val="heading 2"/>
    <w:basedOn w:val="P50"/>
    <w:next w:val="P0"/>
    <w:link w:val="C10"/>
    <w:qFormat/>
    <w:pPr>
      <w:numPr>
        <w:ilvl w:val="1"/>
        <w:numId w:val="23"/>
      </w:numPr>
      <w:spacing w:before="80" w:beforeAutospacing="0" w:afterAutospacing="0"/>
      <w:outlineLvl w:val="1"/>
    </w:pPr>
    <w:rPr>
      <w:u w:val="single"/>
    </w:rPr>
  </w:style>
  <w:style w:type="paragraph" w:styleId="P3">
    <w:name w:val="heading 3"/>
    <w:basedOn w:val="P50"/>
    <w:link w:val="C7"/>
    <w:qFormat/>
    <w:pPr>
      <w:numPr>
        <w:ilvl w:val="2"/>
        <w:numId w:val="23"/>
      </w:numPr>
      <w:outlineLvl w:val="2"/>
    </w:pPr>
    <w:rPr/>
  </w:style>
  <w:style w:type="paragraph" w:styleId="P4">
    <w:name w:val="heading 4"/>
    <w:basedOn w:val="P50"/>
    <w:link w:val="C11"/>
    <w:qFormat/>
    <w:pPr>
      <w:numPr>
        <w:ilvl w:val="3"/>
        <w:numId w:val="23"/>
      </w:numPr>
      <w:outlineLvl w:val="3"/>
    </w:pPr>
    <w:rPr/>
  </w:style>
  <w:style w:type="paragraph" w:styleId="P5">
    <w:name w:val="heading 5"/>
    <w:basedOn w:val="P4"/>
    <w:link w:val="C12"/>
    <w:qFormat/>
    <w:pPr>
      <w:numPr>
        <w:ilvl w:val="4"/>
      </w:numPr>
      <w:outlineLvl w:val="4"/>
    </w:pPr>
    <w:rPr>
      <w:sz w:val="20"/>
    </w:rPr>
  </w:style>
  <w:style w:type="paragraph" w:styleId="P6">
    <w:name w:val="heading 6"/>
    <w:basedOn w:val="P5"/>
    <w:next w:val="P0"/>
    <w:link w:val="C13"/>
    <w:qFormat/>
    <w:pPr>
      <w:numPr>
        <w:ilvl w:val="5"/>
      </w:numPr>
      <w:outlineLvl w:val="5"/>
    </w:pPr>
    <w:rPr/>
  </w:style>
  <w:style w:type="paragraph" w:styleId="P7">
    <w:name w:val="heading 7"/>
    <w:basedOn w:val="P50"/>
    <w:next w:val="P0"/>
    <w:link w:val="C14"/>
    <w:qFormat/>
    <w:pPr>
      <w:numPr>
        <w:ilvl w:val="6"/>
        <w:numId w:val="23"/>
      </w:numPr>
      <w:outlineLvl w:val="6"/>
    </w:pPr>
    <w:rPr>
      <w:sz w:val="20"/>
    </w:rPr>
  </w:style>
  <w:style w:type="paragraph" w:styleId="P8">
    <w:name w:val="heading 8"/>
    <w:basedOn w:val="P7"/>
    <w:next w:val="P0"/>
    <w:link w:val="C15"/>
    <w:qFormat/>
    <w:pPr>
      <w:numPr>
        <w:ilvl w:val="7"/>
      </w:numPr>
      <w:outlineLvl w:val="7"/>
    </w:pPr>
    <w:rPr/>
  </w:style>
  <w:style w:type="paragraph" w:styleId="P9">
    <w:name w:val="heading 9"/>
    <w:basedOn w:val="P8"/>
    <w:next w:val="P0"/>
    <w:link w:val="C16"/>
    <w:qFormat/>
    <w:pPr>
      <w:numPr>
        <w:numId w:val="0"/>
      </w:numPr>
      <w:tabs>
        <w:tab w:val="left" w:pos="5760" w:leader="none"/>
      </w:tabs>
      <w:ind w:hanging="720" w:left="5760"/>
      <w:outlineLvl w:val="8"/>
    </w:pPr>
    <w:rPr/>
  </w:style>
  <w:style w:type="paragraph" w:styleId="P10">
    <w:name w:val="Body Text"/>
    <w:basedOn w:val="P0"/>
    <w:pPr>
      <w:spacing w:after="160" w:beforeAutospacing="0" w:afterAutospacing="0"/>
    </w:pPr>
    <w:rPr/>
  </w:style>
  <w:style w:type="paragraph" w:styleId="P11">
    <w:name w:val="Bullet"/>
    <w:basedOn w:val="P10"/>
    <w:next w:val="P10"/>
    <w:pPr/>
    <w:rPr/>
  </w:style>
  <w:style w:type="paragraph" w:styleId="P12">
    <w:name w:val="annotation text"/>
    <w:basedOn w:val="P0"/>
    <w:semiHidden/>
    <w:pPr>
      <w:spacing w:before="120" w:beforeAutospacing="0" w:afterAutospacing="0"/>
    </w:pPr>
    <w:rPr>
      <w:rFonts w:ascii="Arial" w:hAnsi="Arial"/>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0"/>
    <w:link w:val="C17"/>
    <w:qFormat/>
    <w:pPr>
      <w:keepNext w:val="1"/>
      <w:spacing w:before="160" w:after="30" w:beforeAutospacing="0" w:afterAutospacing="0"/>
    </w:pPr>
    <w:rPr>
      <w:rFonts w:ascii="Arial Narrow" w:hAnsi="Arial Narrow"/>
      <w:b w:val="1"/>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alloon Text"/>
    <w:basedOn w:val="P0"/>
    <w:semiHidden/>
    <w:pPr/>
    <w:rPr>
      <w:rFonts w:ascii="Tahoma" w:hAnsi="Tahoma"/>
      <w:sz w:val="16"/>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annotation subject"/>
    <w:basedOn w:val="P12"/>
    <w:next w:val="P12"/>
    <w:semiHidden/>
    <w:pPr>
      <w:spacing w:before="0" w:beforeAutospacing="0" w:afterAutospacing="0"/>
    </w:pPr>
    <w:rPr>
      <w:rFonts w:ascii="Book Antiqua" w:hAnsi="Book Antiqua"/>
      <w:b w:val="1"/>
      <w:sz w:val="20"/>
    </w:rPr>
  </w:style>
  <w:style w:type="paragraph" w:styleId="P49">
    <w:name w:val="Table Paragraph"/>
    <w:basedOn w:val="P0"/>
    <w:pPr/>
    <w:rPr>
      <w:rFonts w:ascii="Times New Roman" w:hAnsi="Times New Roman"/>
      <w:sz w:val="24"/>
    </w:rPr>
  </w:style>
  <w:style w:type="paragraph" w:styleId="P50">
    <w:name w:val="List Paragraph"/>
    <w:basedOn w:val="P0"/>
    <w:qFormat/>
    <w:pPr>
      <w:ind w:left="720"/>
      <w:contextualSpacing w:val="1"/>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style>
  <w:style w:type="character" w:styleId="C8">
    <w:name w:val="FollowedHyperlink"/>
    <w:rPr>
      <w:color w:val="800080"/>
      <w:u w:val="single"/>
    </w:rPr>
  </w:style>
  <w:style w:type="character" w:styleId="C9">
    <w:name w:val="Heading 1 Char"/>
    <w:link w:val="P1"/>
    <w:rPr>
      <w:caps w:val="1"/>
    </w:rPr>
  </w:style>
  <w:style w:type="character" w:styleId="C10">
    <w:name w:val="Heading 2 Char"/>
    <w:link w:val="P2"/>
    <w:rPr>
      <w:u w:val="single"/>
    </w:rPr>
  </w:style>
  <w:style w:type="character" w:styleId="C11">
    <w:name w:val="Heading 4 Char"/>
    <w:link w:val="P4"/>
    <w:rPr/>
  </w:style>
  <w:style w:type="character" w:styleId="C12">
    <w:name w:val="Heading 5 Char"/>
    <w:link w:val="P5"/>
    <w:rPr>
      <w:sz w:val="20"/>
    </w:rPr>
  </w:style>
  <w:style w:type="character" w:styleId="C13">
    <w:name w:val="Heading 6 Char"/>
    <w:link w:val="P6"/>
    <w:rPr/>
  </w:style>
  <w:style w:type="character" w:styleId="C14">
    <w:name w:val="Heading 7 Char"/>
    <w:link w:val="P7"/>
    <w:rPr>
      <w:sz w:val="20"/>
    </w:rPr>
  </w:style>
  <w:style w:type="character" w:styleId="C15">
    <w:name w:val="Heading 8 Char"/>
    <w:link w:val="P8"/>
    <w:rPr/>
  </w:style>
  <w:style w:type="character" w:styleId="C16">
    <w:name w:val="Heading 9 Char"/>
    <w:link w:val="P9"/>
    <w:rPr/>
  </w:style>
  <w:style w:type="character" w:styleId="C17">
    <w:name w:val="Title Char"/>
    <w:link w:val="P30"/>
    <w:rPr>
      <w:rFonts w:ascii="Arial Narrow" w:hAnsi="Arial Narrow"/>
      <w:b w:val="1"/>
      <w:sz w:val="20"/>
    </w:rPr>
  </w:style>
  <w:style w:type="character" w:styleId="C18">
    <w:name w:val="Strong"/>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2016-05-02T13:51:00Z</dcterms:created>
  <cp:lastModifiedBy>Ray</cp:lastModifiedBy>
  <cp:lastPrinted>2006-08-29T19:15:00Z</cp:lastPrinted>
  <dcterms:modified xsi:type="dcterms:W3CDTF">2022-10-04T19:38:50Z</dcterms:modified>
  <cp:revision>3</cp:revision>
  <dc:title>02230_Site_Preparation_For_Pipelines__Utilities_And_Associated_Structures (May 2,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52cb76cd-94ad-4276-9970-b87aa7e6c848</vt:lpwstr>
  </property>
</Properties>
</file>