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5571E822" Type="http://schemas.openxmlformats.org/officeDocument/2006/relationships/officeDocument" Target="word/document.xml"/><Relationship Id="coreR5571E822" Type="http://schemas.openxmlformats.org/package/2006/relationships/metadata/core-properties" Target="docProps/core.xml"/><Relationship Id="customR5571E822"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Version</w:t>
            </w:r>
          </w:p>
        </w:tc>
        <w:tc>
          <w:tcPr>
            <w:tcW w:w="2117" w:type="dxa"/>
            <w:tcBorders>
              <w:top w:val="doub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Date</w:t>
            </w:r>
          </w:p>
        </w:tc>
        <w:tc>
          <w:tcPr>
            <w:tcW w:w="5726" w:type="dxa"/>
            <w:tcBorders>
              <w:top w:val="doub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5"/>
              <w:jc w:val="center"/>
              <w:rPr>
                <w:sz w:val="22"/>
              </w:rPr>
            </w:pPr>
            <w:r>
              <w:rPr>
                <w:sz w:val="22"/>
              </w:rPr>
              <w:t>1</w:t>
            </w:r>
          </w:p>
        </w:tc>
        <w:tc>
          <w:tcPr>
            <w:tcW w:w="2117" w:type="dxa"/>
            <w:tcBorders>
              <w:top w:val="single" w:sz="6" w:space="0" w:shadow="0" w:frame="0"/>
              <w:left w:val="single" w:sz="6" w:space="0" w:shadow="0" w:frame="0"/>
              <w:bottom w:val="single" w:sz="6" w:space="0" w:shadow="0" w:frame="0"/>
              <w:right w:val="single" w:sz="6" w:space="0" w:shadow="0" w:frame="0"/>
            </w:tcBorders>
          </w:tcPr>
          <w:p>
            <w:pPr>
              <w:pStyle w:val="P45"/>
              <w:rPr>
                <w:sz w:val="22"/>
              </w:rPr>
            </w:pPr>
            <w:r>
              <w:rPr>
                <w:sz w:val="22"/>
              </w:rPr>
              <w:t>March 21, 2016</w:t>
            </w:r>
          </w:p>
        </w:tc>
        <w:tc>
          <w:tcPr>
            <w:tcW w:w="5726" w:type="dxa"/>
            <w:tcBorders>
              <w:top w:val="single" w:sz="6" w:space="0" w:shadow="0" w:frame="0"/>
              <w:left w:val="single" w:sz="6" w:space="0" w:shadow="0" w:frame="0"/>
              <w:bottom w:val="single" w:sz="6" w:space="0" w:shadow="0" w:frame="0"/>
              <w:right w:val="double" w:sz="6" w:space="0" w:shadow="0" w:frame="0"/>
            </w:tcBorders>
          </w:tcPr>
          <w:p>
            <w:pPr>
              <w:pStyle w:val="P45"/>
              <w:rPr>
                <w:sz w:val="22"/>
              </w:rPr>
            </w:pPr>
            <w:r>
              <w:rPr>
                <w:sz w:val="22"/>
              </w:rPr>
              <w:t>New Specification based on OPSS.MUNI 539 (AAM)</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5"/>
              <w:jc w:val="center"/>
              <w:rPr>
                <w:sz w:val="22"/>
              </w:rPr>
            </w:pPr>
            <w:r>
              <w:rPr>
                <w:sz w:val="22"/>
              </w:rPr>
              <w:t>2</w:t>
            </w:r>
          </w:p>
        </w:tc>
        <w:tc>
          <w:tcPr>
            <w:tcW w:w="2117" w:type="dxa"/>
            <w:tcBorders>
              <w:top w:val="single" w:sz="6" w:space="0" w:shadow="0" w:frame="0"/>
              <w:left w:val="single" w:sz="6" w:space="0" w:shadow="0" w:frame="0"/>
              <w:bottom w:val="single" w:sz="6" w:space="0" w:shadow="0" w:frame="0"/>
              <w:right w:val="single" w:sz="6" w:space="0" w:shadow="0" w:frame="0"/>
            </w:tcBorders>
          </w:tcPr>
          <w:p>
            <w:pPr>
              <w:pStyle w:val="P45"/>
              <w:rPr>
                <w:sz w:val="22"/>
              </w:rPr>
            </w:pPr>
            <w:r>
              <w:rPr>
                <w:sz w:val="22"/>
              </w:rPr>
              <w:t>February 21, 2017</w:t>
            </w:r>
          </w:p>
        </w:tc>
        <w:tc>
          <w:tcPr>
            <w:tcW w:w="5726" w:type="dxa"/>
            <w:tcBorders>
              <w:top w:val="single" w:sz="6" w:space="0" w:shadow="0" w:frame="0"/>
              <w:left w:val="single" w:sz="6" w:space="0" w:shadow="0" w:frame="0"/>
              <w:bottom w:val="single" w:sz="6" w:space="0" w:shadow="0" w:frame="0"/>
              <w:right w:val="double" w:sz="6" w:space="0" w:shadow="0" w:frame="0"/>
            </w:tcBorders>
          </w:tcPr>
          <w:p>
            <w:pPr>
              <w:pStyle w:val="P45"/>
              <w:rPr>
                <w:sz w:val="22"/>
              </w:rPr>
            </w:pPr>
            <w:r>
              <w:rPr>
                <w:sz w:val="22"/>
                <w:lang w:val="en-CA"/>
              </w:rPr>
              <w:t xml:space="preserve">Addition of Subsection 1.4 which highlights Contractor responsibilities under the </w:t>
            </w:r>
            <w:r>
              <w:rPr>
                <w:sz w:val="22"/>
              </w:rPr>
              <w:t xml:space="preserve">Ontario Underground Infrastructure Notification System Act, 2012    (AV)</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rPr>
      </w:pPr>
    </w:p>
    <w:p>
      <w:pPr>
        <w:pStyle w:val="P10"/>
        <w:rPr>
          <w:rFonts w:ascii="Calibri" w:hAnsi="Calibri"/>
        </w:rPr>
      </w:pPr>
    </w:p>
    <w:p>
      <w:pPr>
        <w:pStyle w:val="P1"/>
      </w:pPr>
      <w:r>
        <w:br w:type="page"/>
        <w:t>GEneral</w:t>
      </w:r>
    </w:p>
    <w:p>
      <w:pPr>
        <w:pStyle w:val="P2"/>
        <w:rPr>
          <w:u w:val="single"/>
        </w:rPr>
      </w:pPr>
      <w:r>
        <w:rPr>
          <w:u w:val="single"/>
        </w:rPr>
        <w:t>Summary</w:t>
      </w:r>
    </w:p>
    <w:p>
      <w:pPr>
        <w:pStyle w:val="P3"/>
      </w:pPr>
      <w:r>
        <w:t xml:space="preserve">This specification covers the requirements for supplying, placing, maintaining, and removing support systems required to permit the excavation and backfilling of trenches or excavations for the installation of sanitary and storm pipe sewers, pipe culverts and end sections, forcemains and associated appurtenances, watermains and associated appurtenances, and other underground Utilities; maintenance holes, catch basins, ditch inlets, and valve chambers; and any other specified subsurface construction. </w:t>
      </w:r>
    </w:p>
    <w:p>
      <w:pPr>
        <w:pStyle w:val="P2"/>
        <w:rPr>
          <w:u w:val="single"/>
        </w:rPr>
      </w:pPr>
      <w:r>
        <w:rPr>
          <w:u w:val="single"/>
        </w:rPr>
        <w:t>Related Sections</w:t>
      </w:r>
    </w:p>
    <w:p>
      <w:pPr>
        <w:pStyle w:val="P4"/>
        <w:numPr>
          <w:ilvl w:val="3"/>
          <w:numId w:val="0"/>
        </w:numPr>
        <w:ind w:firstLine="0" w:left="144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Contractor is responsible for coordination of the Work.</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4"/>
        <w:numPr>
          <w:ilvl w:val="3"/>
          <w:numId w:val="0"/>
        </w:numPr>
        <w:ind w:firstLine="0" w:left="1440"/>
        <w:rPr>
          <w:i w:val="1"/>
          <w:highlight w:val="yellow"/>
        </w:rPr>
      </w:pPr>
    </w:p>
    <w:p>
      <w:pPr>
        <w:pStyle w:val="P4"/>
        <w:numPr>
          <w:ilvl w:val="3"/>
          <w:numId w:val="0"/>
        </w:numPr>
        <w:ind w:firstLine="0" w:left="1440"/>
        <w:rPr>
          <w:i w:val="1"/>
          <w:highlight w:val="yellow"/>
        </w:rPr>
      </w:pPr>
      <w:r>
        <w:rPr>
          <w:i w:val="1"/>
          <w:highlight w:val="yellow"/>
        </w:rPr>
        <w:t>[List Sections specifying installation of products supplied but not installed under this Section and indicate specific items.]</w:t>
      </w:r>
    </w:p>
    <w:p>
      <w:pPr>
        <w:pStyle w:val="P3"/>
        <w:numPr>
          <w:ilvl w:val="2"/>
          <w:numId w:val="0"/>
        </w:numPr>
        <w:ind w:hanging="720" w:left="1440"/>
      </w:pPr>
    </w:p>
    <w:p>
      <w:pPr>
        <w:pStyle w:val="P3"/>
        <w:numPr>
          <w:ilvl w:val="2"/>
          <w:numId w:val="0"/>
        </w:numPr>
        <w:ind w:hanging="720" w:left="1440"/>
      </w:pPr>
      <w:r>
        <w:t>.1</w:t>
        <w:tab/>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1440"/>
        <w:rPr>
          <w:highlight w:val="yellow"/>
        </w:rPr>
      </w:pPr>
    </w:p>
    <w:p>
      <w:pPr>
        <w:pStyle w:val="P3"/>
        <w:numPr>
          <w:ilvl w:val="2"/>
          <w:numId w:val="0"/>
        </w:numPr>
        <w:ind w:firstLine="0" w:left="1440"/>
        <w:rPr>
          <w:i w:val="1"/>
          <w:highlight w:val="yellow"/>
        </w:rPr>
      </w:pPr>
      <w:r>
        <w:rPr>
          <w:i w:val="1"/>
          <w:highlight w:val="yellow"/>
        </w:rPr>
        <w:t>[List Sections specifying products installed but not supplied under this Section and indicate specific items.]</w:t>
      </w:r>
    </w:p>
    <w:p>
      <w:pPr>
        <w:pStyle w:val="P3"/>
        <w:numPr>
          <w:ilvl w:val="2"/>
          <w:numId w:val="0"/>
        </w:numPr>
        <w:ind w:hanging="720" w:left="1440"/>
      </w:pPr>
      <w:r>
        <w:t>.2</w:t>
        <w:tab/>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1440"/>
        <w:rPr>
          <w:i w:val="1"/>
        </w:rPr>
      </w:pPr>
    </w:p>
    <w:p>
      <w:pPr>
        <w:pStyle w:val="P3"/>
        <w:numPr>
          <w:ilvl w:val="2"/>
          <w:numId w:val="0"/>
        </w:numPr>
        <w:ind w:firstLine="0" w:left="1440"/>
        <w:rPr>
          <w:i w:val="1"/>
        </w:rPr>
      </w:pPr>
      <w:r>
        <w:rPr>
          <w:i w:val="1"/>
        </w:rPr>
        <w:t>[</w:t>
      </w:r>
      <w:r>
        <w:rPr>
          <w:i w:val="1"/>
          <w:highlight w:val="yellow"/>
        </w:rPr>
        <w:t>List Sections specifying related requirements.]</w:t>
      </w:r>
    </w:p>
    <w:p>
      <w:pPr>
        <w:pStyle w:val="P3"/>
        <w:numPr>
          <w:ilvl w:val="2"/>
          <w:numId w:val="0"/>
        </w:numPr>
        <w:ind w:hanging="720" w:left="1440"/>
      </w:pPr>
      <w:r>
        <w:t>.3</w:t>
        <w:tab/>
        <w:t xml:space="preserve">Section </w:t>
      </w:r>
      <w:r>
        <w:rPr>
          <w:highlight w:val="yellow"/>
        </w:rPr>
        <w:t xml:space="preserve">[______ – ____________]:  [Optional short phrase indicating relationship].</w:t>
      </w:r>
    </w:p>
    <w:p>
      <w:pPr>
        <w:pStyle w:val="P4"/>
      </w:pPr>
      <w:r>
        <w:t>Division 1 – General Requirements</w:t>
      </w:r>
    </w:p>
    <w:p>
      <w:pPr>
        <w:pStyle w:val="P4"/>
      </w:pPr>
      <w:r>
        <w:rPr>
          <w:highlight w:val="yellow"/>
        </w:rPr>
        <w:t>Section 02240 – Dewatering</w:t>
      </w:r>
    </w:p>
    <w:p>
      <w:pPr>
        <w:pStyle w:val="P2"/>
        <w:rPr>
          <w:u w:val="single"/>
        </w:rPr>
      </w:pPr>
      <w:r>
        <w:rPr>
          <w:u w:val="single"/>
        </w:rPr>
        <w:t>References</w:t>
      </w:r>
    </w:p>
    <w:p>
      <w:pPr>
        <w:pStyle w:val="P4"/>
        <w:tabs>
          <w:tab w:val="left" w:pos="1440" w:leader="none"/>
          <w:tab w:val="clear" w:pos="2160" w:leader="none"/>
        </w:tabs>
        <w:ind w:left="1440"/>
      </w:pPr>
      <w:r>
        <w:t>Ontario Underground Infrastructure Notification System Act, 2012</w:t>
      </w:r>
    </w:p>
    <w:p>
      <w:pPr>
        <w:pStyle w:val="P4"/>
        <w:tabs>
          <w:tab w:val="left" w:pos="1440" w:leader="none"/>
          <w:tab w:val="clear" w:pos="2160" w:leader="none"/>
        </w:tabs>
        <w:ind w:left="1440"/>
      </w:pPr>
      <w:r>
        <w:t>Ontario Provincial Standards for Roads and Public Works (OPSS)</w:t>
      </w:r>
      <w:bookmarkStart w:id="0" w:name="_GoBack"/>
      <w:bookmarkEnd w:id="0"/>
    </w:p>
    <w:p>
      <w:pPr>
        <w:pStyle w:val="P4"/>
        <w:numPr>
          <w:ilvl w:val="5"/>
          <w:numId w:val="16"/>
        </w:numPr>
        <w:tabs>
          <w:tab w:val="clear" w:pos="1152" w:leader="none"/>
          <w:tab w:val="left" w:pos="2160" w:leader="none"/>
          <w:tab w:val="clear" w:pos="5040" w:leader="none"/>
        </w:tabs>
        <w:ind w:hanging="720" w:left="2160"/>
      </w:pPr>
      <w:r>
        <w:t>OPSS.MUNI 539 Temporary Protection Systems (Nov 2014)</w:t>
      </w:r>
    </w:p>
    <w:p>
      <w:pPr>
        <w:pStyle w:val="P4"/>
        <w:tabs>
          <w:tab w:val="left" w:pos="1440" w:leader="none"/>
          <w:tab w:val="clear" w:pos="2160" w:leader="none"/>
        </w:tabs>
        <w:ind w:left="1440"/>
      </w:pPr>
      <w:r>
        <w:t>Occupational Health and Safety Act, R.S.O. 1990, c.O.1, as amended</w:t>
      </w:r>
    </w:p>
    <w:p>
      <w:pPr>
        <w:pStyle w:val="P4"/>
        <w:tabs>
          <w:tab w:val="left" w:pos="1440" w:leader="none"/>
          <w:tab w:val="clear" w:pos="2160" w:leader="none"/>
        </w:tabs>
        <w:ind w:left="1440"/>
      </w:pPr>
      <w:r>
        <w:t>Ontario Regulation 213/91, Construction Projects, as amended</w:t>
      </w:r>
    </w:p>
    <w:p>
      <w:pPr>
        <w:pStyle w:val="P2"/>
      </w:pPr>
      <w:r>
        <w:t>Locates</w:t>
      </w:r>
    </w:p>
    <w:p>
      <w:pPr>
        <w:pStyle w:val="P3"/>
        <w:numPr>
          <w:ilvl w:val="2"/>
          <w:numId w:val="18"/>
        </w:numPr>
        <w:contextualSpacing w:val="1"/>
      </w:pPr>
      <w:r>
        <w:t xml:space="preserve">The Contractor shall be deemed an “excavator” under the Ontario Underground Infrastructure Notification System Act, 2012, and shall comply with all applicable requirements of the Act.  The Contractor shall obtain locates of underground infrastructure from Ontario One Call prior to commencing an excavation or dig. </w:t>
      </w:r>
    </w:p>
    <w:p>
      <w:pPr>
        <w:pStyle w:val="P1"/>
      </w:pPr>
      <w:r>
        <w:t xml:space="preserve"> Products</w:t>
      </w:r>
    </w:p>
    <w:p>
      <w:pPr>
        <w:pStyle w:val="P2"/>
      </w:pPr>
      <w:r>
        <w:t xml:space="preserve">Materials </w:t>
      </w:r>
    </w:p>
    <w:p>
      <w:pPr>
        <w:pStyle w:val="P3"/>
      </w:pPr>
      <w:r>
        <w:t>Comply with the requirements of OPSS.MUNI 539.05 Materials.</w:t>
      </w:r>
    </w:p>
    <w:p>
      <w:pPr>
        <w:pStyle w:val="P1"/>
      </w:pPr>
      <w:r>
        <w:t xml:space="preserve"> EXECUTION</w:t>
      </w:r>
    </w:p>
    <w:p>
      <w:pPr>
        <w:pStyle w:val="P2"/>
      </w:pPr>
      <w:r>
        <w:t>OPSS.MUNI 539.07 is amended as follows:</w:t>
        <w:br w:type="textWrapping"/>
      </w:r>
    </w:p>
    <w:p>
      <w:pPr>
        <w:pStyle w:val="P10"/>
        <w:tabs>
          <w:tab w:val="left" w:pos="720" w:leader="none"/>
        </w:tabs>
        <w:ind w:left="720"/>
      </w:pPr>
      <w:r>
        <w:t xml:space="preserve">The first sentence of </w:t>
      </w:r>
      <w:r>
        <w:rPr>
          <w:b w:val="1"/>
        </w:rPr>
        <w:t>539.07.02</w:t>
      </w:r>
      <w:r>
        <w:t xml:space="preserve"> -</w:t>
      </w:r>
      <w:r>
        <w:rPr>
          <w:b w:val="1"/>
        </w:rPr>
        <w:t>Removal of Protection Systems</w:t>
      </w:r>
      <w:r>
        <w:t xml:space="preserve"> is deleted and replaced by the following:</w:t>
      </w:r>
    </w:p>
    <w:p>
      <w:pPr>
        <w:pStyle w:val="P10"/>
        <w:tabs>
          <w:tab w:val="left" w:pos="2160" w:leader="none"/>
        </w:tabs>
        <w:ind w:hanging="1440" w:left="2160"/>
      </w:pPr>
      <w:r>
        <w:rPr>
          <w:b w:val="1"/>
        </w:rPr>
        <w:tab/>
      </w:r>
      <w:r>
        <w:t xml:space="preserve">Protection systems shall be removed from the right-of-way, unless it is specified in the Contract Documents, or with the approval of the Consultant that the protection system may be left in place. </w:t>
      </w:r>
    </w:p>
    <w:p>
      <w:pPr>
        <w:pStyle w:val="P10"/>
        <w:tabs>
          <w:tab w:val="left" w:pos="2160" w:leader="none"/>
        </w:tabs>
        <w:ind w:hanging="1440" w:left="2160"/>
        <w:jc w:val="center"/>
        <w:rPr>
          <w:rFonts w:ascii="Calibri" w:hAnsi="Calibri"/>
          <w:b w:val="1"/>
        </w:rPr>
      </w:pPr>
    </w:p>
    <w:p>
      <w:pPr>
        <w:pStyle w:val="P10"/>
        <w:tabs>
          <w:tab w:val="left" w:pos="2160" w:leader="none"/>
        </w:tabs>
        <w:ind w:hanging="1440" w:left="2160"/>
        <w:jc w:val="center"/>
        <w:rPr>
          <w:rFonts w:ascii="Calibri" w:hAnsi="Calibri"/>
          <w:b w:val="1"/>
        </w:rPr>
      </w:pPr>
      <w:r>
        <w:rPr>
          <w:rFonts w:ascii="Calibri" w:hAnsi="Calibri"/>
          <w:b w:val="1"/>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02150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Arial" w:hAnsi="Arial"/>
      </w:rPr>
    </w:pPr>
    <w:r>
      <w:rPr>
        <w:rFonts w:ascii="Arial" w:hAnsi="Arial"/>
        <w:b w:val="1"/>
      </w:rPr>
      <w:tab/>
      <w:t>EXCAVATION SHORING SYSTEMS</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CONTRACT NO. SSTR4559</w:t>
      <w:tab/>
      <w:t>Section 02261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Calibri" w:hAnsi="Calibri"/>
      </w:rPr>
    </w:pPr>
    <w:r>
      <w:rPr>
        <w:rFonts w:ascii="Calibri (Body)" w:hAnsi="Calibri (Body)"/>
        <w:b w:val="1"/>
        <w:sz w:val="22"/>
      </w:rPr>
      <w:tab/>
      <w:t>EXCAVATION TEMPORARY SUPPORT SYSTEMS</w:t>
    </w:r>
    <w:r>
      <w:rPr>
        <w:rFonts w:ascii="Calibri (Body)" w:hAnsi="Calibri (Body)"/>
        <w:sz w:val="22"/>
      </w:rPr>
      <w:tab/>
      <w:t>2017-02-21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caps w:val="1"/>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Section 02261</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Calibri" w:hAnsi="Calibri"/>
      </w:rPr>
    </w:pPr>
    <w:r>
      <w:rPr>
        <w:rFonts w:ascii="Calibri (Body)" w:hAnsi="Calibri (Body)"/>
        <w:sz w:val="22"/>
      </w:rPr>
      <w:t>2017-02-21</w:t>
    </w:r>
    <w:r>
      <w:rPr>
        <w:rFonts w:ascii="Calibri (Body)" w:hAnsi="Calibri (Body)"/>
        <w:b w:val="1"/>
        <w:sz w:val="22"/>
      </w:rPr>
      <w:tab/>
      <w:t>EXCAVATION TEMPORARY SUPPORT SYSTEMS</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8A18FCC">
      <w:start w:val="1"/>
      <w:numFmt w:val="decimal"/>
      <w:suff w:val="tab"/>
      <w:lvlText w:val="%1."/>
      <w:lvlJc w:val="left"/>
      <w:pPr/>
      <w:rPr/>
    </w:lvl>
    <w:lvl w:ilvl="2" w:tplc="69CFF118">
      <w:start w:val="1"/>
      <w:numFmt w:val="decimal"/>
      <w:suff w:val="tab"/>
      <w:lvlText w:val="%1."/>
      <w:lvlJc w:val="left"/>
      <w:pPr/>
      <w:rPr/>
    </w:lvl>
    <w:lvl w:ilvl="3" w:tplc="372AFEAD">
      <w:start w:val="1"/>
      <w:numFmt w:val="decimal"/>
      <w:suff w:val="tab"/>
      <w:lvlText w:val="%1."/>
      <w:lvlJc w:val="left"/>
      <w:pPr/>
      <w:rPr/>
    </w:lvl>
    <w:lvl w:ilvl="4" w:tplc="1CFE018E">
      <w:start w:val="1"/>
      <w:numFmt w:val="decimal"/>
      <w:suff w:val="tab"/>
      <w:lvlText w:val="%1."/>
      <w:lvlJc w:val="left"/>
      <w:pPr/>
      <w:rPr/>
    </w:lvl>
    <w:lvl w:ilvl="5" w:tplc="15D1BEF8">
      <w:start w:val="1"/>
      <w:numFmt w:val="decimal"/>
      <w:suff w:val="tab"/>
      <w:lvlText w:val="%1."/>
      <w:lvlJc w:val="left"/>
      <w:pPr/>
      <w:rPr/>
    </w:lvl>
    <w:lvl w:ilvl="6" w:tplc="617AF189">
      <w:start w:val="1"/>
      <w:numFmt w:val="decimal"/>
      <w:suff w:val="tab"/>
      <w:lvlText w:val="%1."/>
      <w:lvlJc w:val="left"/>
      <w:pPr/>
      <w:rPr/>
    </w:lvl>
    <w:lvl w:ilvl="7" w:tplc="5A857CEF">
      <w:start w:val="1"/>
      <w:numFmt w:val="decimal"/>
      <w:suff w:val="tab"/>
      <w:lvlText w:val="%1."/>
      <w:lvlJc w:val="left"/>
      <w:pPr/>
      <w:rPr/>
    </w:lvl>
    <w:lvl w:ilvl="8" w:tplc="31DA208D">
      <w:start w:val="1"/>
      <w:numFmt w:val="decimal"/>
      <w:suff w:val="tab"/>
      <w:lvlText w:val="%1."/>
      <w:lvlJc w:val="left"/>
      <w:pPr/>
      <w:rPr/>
    </w:lvl>
  </w:abstractNum>
  <w:abstractNum w:abstractNumId="1">
    <w:nsid w:val="00000402"/>
    <w:multiLevelType w:val="multilevel"/>
    <w:lvl w:ilvl="0">
      <w:start w:val="1"/>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11">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860"/>
        <w:tabs>
          <w:tab w:val="left" w:pos="860" w:leader="none"/>
        </w:tabs>
      </w:pPr>
      <w:rPr>
        <w:i w:val="0"/>
        <w:caps w:val="0"/>
        <w:strike w:val="0"/>
        <w:noProof w:val="0"/>
        <w:vanish w:val="0"/>
        <w:u w:val="none"/>
        <w:vertAlign w:val="baseline"/>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939"/>
        <w:tabs>
          <w:tab w:val="left" w:pos="939" w:leader="none"/>
        </w:tabs>
      </w:pPr>
      <w:rPr/>
    </w:lvl>
    <w:lvl w:ilvl="4">
      <w:start w:val="1"/>
      <w:numFmt w:val="decimal"/>
      <w:pStyle w:val="P5"/>
      <w:suff w:val="tab"/>
      <w:lvlText w:val="%5."/>
      <w:lvlJc w:val="left"/>
      <w:pPr>
        <w:ind w:firstLine="4320" w:left="720"/>
        <w:tabs>
          <w:tab w:val="left" w:pos="720"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2">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1"/>
  </w:num>
  <w:num w:numId="4">
    <w:abstractNumId w:val="7"/>
  </w:num>
  <w:num w:numId="5">
    <w:abstractNumId w:val="12"/>
  </w:num>
  <w:num w:numId="6">
    <w:abstractNumId w:val="6"/>
  </w:num>
  <w:num w:numId="7">
    <w:abstractNumId w:val="9"/>
  </w:num>
  <w:num w:numId="8">
    <w:abstractNumId w:val="5"/>
  </w:num>
  <w:num w:numId="9">
    <w:abstractNumId w:val="13"/>
  </w:num>
  <w:num w:numId="10">
    <w:abstractNumId w:val="8"/>
  </w:num>
  <w:num w:numId="11">
    <w:abstractNumId w:val="11"/>
  </w:num>
  <w:num w:numId="12">
    <w:abstractNumId w:val="3"/>
  </w:num>
  <w:num w:numId="13">
    <w:abstractNumId w:val="2"/>
  </w:num>
  <w:num w:numId="14">
    <w:abstractNumId w:val="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rPr>
  </w:style>
  <w:style w:type="paragraph" w:styleId="P1">
    <w:name w:val="heading 1"/>
    <w:basedOn w:val="P15"/>
    <w:next w:val="P10"/>
    <w:qFormat/>
    <w:pPr>
      <w:keepNext w:val="1"/>
      <w:numPr>
        <w:numId w:val="3"/>
      </w:numPr>
      <w:tabs>
        <w:tab w:val="clear" w:pos="432" w:leader="none"/>
        <w:tab w:val="left" w:pos="720" w:leader="none"/>
      </w:tabs>
      <w:spacing w:before="160" w:beforeAutospacing="0" w:afterAutospacing="0"/>
      <w:ind w:hanging="720" w:left="72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tabs>
        <w:tab w:val="left" w:pos="720" w:leader="none"/>
        <w:tab w:val="clear" w:pos="860" w:leader="none"/>
      </w:tabs>
      <w:spacing w:before="80" w:beforeAutospacing="0" w:afterAutospacing="0"/>
      <w:ind w:hanging="720" w:left="720"/>
      <w:outlineLvl w:val="1"/>
    </w:pPr>
    <w:rPr>
      <w:rFonts w:ascii="Calibri" w:hAnsi="Calibri"/>
      <w:b w:val="0"/>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rPr>
  </w:style>
  <w:style w:type="paragraph" w:styleId="P4">
    <w:name w:val="heading 4"/>
    <w:basedOn w:val="P15"/>
    <w:qFormat/>
    <w:pPr>
      <w:numPr>
        <w:ilvl w:val="3"/>
        <w:numId w:val="3"/>
      </w:numPr>
      <w:tabs>
        <w:tab w:val="clear" w:pos="939" w:leader="none"/>
        <w:tab w:val="left" w:pos="2160" w:leader="none"/>
        <w:tab w:val="left" w:pos="5040" w:leader="none"/>
      </w:tabs>
      <w:ind w:hanging="720" w:left="2160"/>
      <w:outlineLvl w:val="3"/>
    </w:pPr>
    <w:rPr>
      <w:rFonts w:ascii="Calibri" w:hAnsi="Calibri"/>
      <w:b w:val="0"/>
    </w:rPr>
  </w:style>
  <w:style w:type="paragraph" w:styleId="P5">
    <w:name w:val="heading 5"/>
    <w:basedOn w:val="P15"/>
    <w:qFormat/>
    <w:pPr>
      <w:numPr>
        <w:ilvl w:val="4"/>
        <w:numId w:val="3"/>
      </w:numPr>
      <w:tabs>
        <w:tab w:val="clear" w:pos="720" w:leader="none"/>
        <w:tab w:val="left" w:pos="2880" w:leader="none"/>
        <w:tab w:val="left" w:pos="576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11"/>
    <w:pPr>
      <w:spacing w:after="160" w:beforeAutospacing="0" w:afterAutospacing="0"/>
    </w:pPr>
    <w:rPr/>
  </w:style>
  <w:style w:type="paragraph" w:styleId="P11">
    <w:name w:val="Bullet"/>
    <w:basedOn w:val="P10"/>
    <w:next w:val="P10"/>
    <w:pPr/>
    <w:rPr/>
  </w:style>
  <w:style w:type="paragraph" w:styleId="P12">
    <w:name w:val="annotation text"/>
    <w:basedOn w:val="P0"/>
    <w:link w:val="C9"/>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Normal Table Text"/>
    <w:basedOn w:val="P0"/>
    <w:pPr>
      <w:widowControl w:val="0"/>
      <w:spacing w:before="60" w:after="60" w:beforeAutospacing="0" w:afterAutospacing="0"/>
    </w:pPr>
    <w:rPr>
      <w:rFonts w:ascii="Arial" w:hAnsi="Arial"/>
      <w:sz w:val="20"/>
      <w:lang w:val="en-GB"/>
    </w:rPr>
  </w:style>
  <w:style w:type="paragraph" w:styleId="P46">
    <w:name w:val="Table Heading"/>
    <w:basedOn w:val="P0"/>
    <w:pPr>
      <w:widowControl w:val="0"/>
      <w:spacing w:before="60" w:after="60" w:beforeAutospacing="0" w:afterAutospacing="0"/>
    </w:pPr>
    <w:rPr>
      <w:rFonts w:ascii="Arial" w:hAnsi="Arial"/>
      <w:b w:val="1"/>
      <w:sz w:val="20"/>
      <w:lang w:val="en-GB"/>
    </w:rPr>
  </w:style>
  <w:style w:type="paragraph" w:styleId="P47">
    <w:name w:val="Balloon Text"/>
    <w:basedOn w:val="P0"/>
    <w:semiHidden/>
    <w:pPr/>
    <w:rPr>
      <w:rFonts w:ascii="Tahoma" w:hAnsi="Tahoma"/>
      <w:sz w:val="16"/>
    </w:rPr>
  </w:style>
  <w:style w:type="paragraph" w:styleId="P48">
    <w:name w:val="annotation subject"/>
    <w:basedOn w:val="P12"/>
    <w:next w:val="P12"/>
    <w:link w:val="C10"/>
    <w:pPr>
      <w:spacing w:before="0" w:beforeAutospacing="0" w:afterAutospacing="0"/>
    </w:pPr>
    <w:rPr>
      <w:rFonts w:ascii="Book Antiqua" w:hAnsi="Book Antiqua"/>
      <w:b w:val="1"/>
      <w:sz w:val="20"/>
    </w:rPr>
  </w:style>
  <w:style w:type="paragraph" w:styleId="P49">
    <w:name w:val="Table Paragraph"/>
    <w:basedOn w:val="P0"/>
    <w:qFormat/>
    <w:pPr/>
    <w:rPr>
      <w:rFonts w:ascii="Times New Roman" w:hAnsi="Times New Roman"/>
      <w:sz w:val="24"/>
    </w:rPr>
  </w:style>
  <w:style w:type="paragraph" w:styleId="P50">
    <w:name w:val="Revision"/>
    <w:hidden/>
    <w:semiHidden/>
    <w:pPr/>
    <w:rPr>
      <w:rFonts w:ascii="Book Antiqua" w:hAnsi="Book Antiqua"/>
      <w:sz w:val="22"/>
    </w:rPr>
  </w:style>
  <w:style w:type="paragraph" w:styleId="P51">
    <w:name w:val="Body Text 3"/>
    <w:basedOn w:val="P0"/>
    <w:link w:val="C12"/>
    <w:pPr>
      <w:spacing w:after="120" w:beforeAutospacing="0" w:afterAutospacing="0"/>
    </w:pPr>
    <w:rPr>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1"/>
    <w:link w:val="P3"/>
    <w:rPr>
      <w:rFonts w:ascii="Calibri" w:hAnsi="Calibri"/>
      <w:b w:val="0"/>
    </w:rPr>
  </w:style>
  <w:style w:type="character" w:styleId="C8">
    <w:name w:val="Heading 3 Char"/>
    <w:rPr>
      <w:rFonts w:ascii="Arial" w:hAnsi="Arial"/>
      <w:b w:val="1"/>
      <w:sz w:val="22"/>
      <w:lang w:val="en-US" w:bidi="ar-SA" w:eastAsia="en-US"/>
    </w:rPr>
  </w:style>
  <w:style w:type="character" w:styleId="C9">
    <w:name w:val="Comment Text Char"/>
    <w:link w:val="P12"/>
    <w:semiHidden/>
    <w:rPr>
      <w:rFonts w:ascii="Arial" w:hAnsi="Arial"/>
    </w:rPr>
  </w:style>
  <w:style w:type="character" w:styleId="C10">
    <w:name w:val="Comment Subject Char"/>
    <w:link w:val="P48"/>
    <w:rPr>
      <w:rFonts w:ascii="Book Antiqua" w:hAnsi="Book Antiqua"/>
      <w:b w:val="1"/>
      <w:sz w:val="20"/>
    </w:rPr>
  </w:style>
  <w:style w:type="character" w:styleId="C11">
    <w:name w:val="Body Text Char"/>
    <w:link w:val="P10"/>
    <w:rPr/>
  </w:style>
  <w:style w:type="character" w:styleId="C12">
    <w:name w:val="Body Text 3 Char"/>
    <w:basedOn w:val="C0"/>
    <w:link w:val="P51"/>
    <w:rPr>
      <w:sz w:val="16"/>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2016-03-21T17:23:00Z</dcterms:created>
  <cp:lastModifiedBy>Ray</cp:lastModifiedBy>
  <cp:lastPrinted>2014-03-26T14:25:00Z</cp:lastPrinted>
  <dcterms:modified xsi:type="dcterms:W3CDTF">2022-10-04T19:38:50Z</dcterms:modified>
  <cp:revision>9</cp:revision>
  <dc:title>02261_Excavation_Temporary_Support_Systems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a9b5f36e-20a3-4e0c-84c6-28deafff868d</vt:lpwstr>
  </property>
</Properties>
</file>