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D8DB0"/>
          <w:sz w:val="16"/>
        </w:rPr>
        <w:t>PARADISE  ·  WERKPAKKET 3</w:t>
      </w:r>
    </w:p>
    <w:p>
      <w:pPr>
        <w:spacing w:before="0" w:after="20"/>
      </w:pPr>
      <w:r>
        <w:rPr>
          <w:b/>
          <w:color w:val="00407A"/>
          <w:sz w:val="32"/>
        </w:rPr>
        <w:t>Overleg Koen Putman — gezondheidseconomie</w:t>
      </w:r>
    </w:p>
    <w:p>
      <w:pPr>
        <w:spacing w:before="0" w:after="80"/>
      </w:pPr>
      <w:r>
        <w:rPr>
          <w:b w:val="0"/>
          <w:color w:val="5A6A78"/>
          <w:sz w:val="18"/>
        </w:rPr>
        <w:t>24 september 2026</w:t>
      </w:r>
    </w:p>
    <w:p>
      <w:pPr>
        <w:spacing w:before="240" w:after="80"/>
      </w:pPr>
      <w:r>
        <w:rPr>
          <w:b/>
          <w:color w:val="FF7A00"/>
          <w:sz w:val="22"/>
        </w:rPr>
        <w:t>Voorstel</w:t>
      </w:r>
    </w:p>
    <w:p>
      <w:pPr>
        <w:spacing w:after="60"/>
        <w:ind w:left="340" w:hanging="340"/>
      </w:pPr>
      <w:r>
        <w:rPr>
          <w:b/>
          <w:color w:val="FF7A00"/>
          <w:sz w:val="20"/>
        </w:rPr>
        <w:t xml:space="preserve">1  </w:t>
      </w:r>
      <w:r>
        <w:rPr>
          <w:b/>
          <w:color w:val="1B2630"/>
          <w:sz w:val="20"/>
        </w:rPr>
        <w:t>Budgetimpactanalyse toevoegen</w:t>
      </w:r>
      <w:r>
        <w:rPr>
          <w:b w:val="0"/>
          <w:color w:val="5A6A78"/>
          <w:sz w:val="20"/>
        </w:rPr>
        <w:t xml:space="preserve">  — staat nergens; RIZIV vraagt ze naast de ICUR. Twee paren vs. één = aparte budgetregel</w:t>
      </w:r>
    </w:p>
    <w:p>
      <w:pPr>
        <w:spacing w:after="60"/>
        <w:ind w:left="340" w:hanging="340"/>
      </w:pPr>
      <w:r>
        <w:rPr>
          <w:b/>
          <w:color w:val="FF7A00"/>
          <w:sz w:val="20"/>
        </w:rPr>
        <w:t xml:space="preserve">2  </w:t>
      </w:r>
      <w:r>
        <w:rPr>
          <w:b/>
          <w:color w:val="1B2630"/>
          <w:sz w:val="20"/>
        </w:rPr>
        <w:t>Vermelden dat de economische evaluatie niet apart gepowerd is</w:t>
      </w:r>
      <w:r>
        <w:rPr>
          <w:b w:val="0"/>
          <w:color w:val="5A6A78"/>
          <w:sz w:val="20"/>
        </w:rPr>
        <w:t xml:space="preserve">  — 144 blijft; precisie-uitspraak op basis van DIATEMP</w:t>
      </w:r>
    </w:p>
    <w:p>
      <w:pPr>
        <w:spacing w:before="240" w:after="80"/>
      </w:pPr>
      <w:r>
        <w:rPr>
          <w:b/>
          <w:color w:val="FF7A00"/>
          <w:sz w:val="22"/>
        </w:rPr>
        <w:t>Beslissen vóór de versie-lock</w:t>
      </w:r>
    </w:p>
    <w:p>
      <w:pPr>
        <w:spacing w:after="60"/>
        <w:ind w:left="340" w:hanging="340"/>
      </w:pPr>
      <w:r>
        <w:rPr>
          <w:b/>
          <w:color w:val="FF7A00"/>
          <w:sz w:val="20"/>
        </w:rPr>
        <w:t xml:space="preserve">3  </w:t>
      </w:r>
      <w:r>
        <w:rPr>
          <w:b/>
          <w:color w:val="1B2630"/>
          <w:sz w:val="20"/>
        </w:rPr>
        <w:t>Tijd per sessie registreren</w:t>
      </w:r>
      <w:r>
        <w:rPr>
          <w:b w:val="0"/>
          <w:color w:val="5A6A78"/>
          <w:sz w:val="20"/>
        </w:rPr>
        <w:t xml:space="preserve">  — eCRF 23 heeft geen tijdsveld, eCRF 40 enkel gemiddelden</w:t>
      </w:r>
    </w:p>
    <w:p>
      <w:pPr>
        <w:spacing w:after="60"/>
        <w:ind w:left="340" w:hanging="340"/>
      </w:pPr>
      <w:r>
        <w:rPr>
          <w:b/>
          <w:color w:val="FF7A00"/>
          <w:sz w:val="20"/>
        </w:rPr>
        <w:t xml:space="preserve">4  </w:t>
      </w:r>
      <w:r>
        <w:rPr>
          <w:b/>
          <w:color w:val="1B2630"/>
          <w:sz w:val="20"/>
        </w:rPr>
        <w:t>Formulier dossierextractie</w:t>
      </w:r>
      <w:r>
        <w:rPr>
          <w:b w:val="0"/>
          <w:color w:val="5A6A78"/>
          <w:sz w:val="20"/>
        </w:rPr>
        <w:t xml:space="preserve">  — welke posten, wie extraheert</w:t>
      </w:r>
    </w:p>
    <w:p>
      <w:pPr>
        <w:spacing w:after="60"/>
        <w:ind w:left="340" w:hanging="340"/>
      </w:pPr>
      <w:r>
        <w:rPr>
          <w:b/>
          <w:color w:val="FF7A00"/>
          <w:sz w:val="20"/>
        </w:rPr>
        <w:t xml:space="preserve">5  </w:t>
      </w:r>
      <w:r>
        <w:rPr>
          <w:b/>
          <w:color w:val="1B2630"/>
          <w:sz w:val="20"/>
        </w:rPr>
        <w:t>Regel bij tegenspraak dagboek ↔ iMCQ</w:t>
      </w:r>
      <w:r>
        <w:rPr>
          <w:b w:val="0"/>
          <w:color w:val="5A6A78"/>
          <w:sz w:val="20"/>
        </w:rPr>
        <w:t xml:space="preserve">  — welke waarde telt?</w:t>
      </w:r>
    </w:p>
    <w:p>
      <w:pPr>
        <w:spacing w:after="60"/>
        <w:ind w:left="340" w:hanging="340"/>
      </w:pPr>
      <w:r>
        <w:rPr>
          <w:b/>
          <w:color w:val="FF7A00"/>
          <w:sz w:val="20"/>
        </w:rPr>
        <w:t xml:space="preserve">6  </w:t>
      </w:r>
      <w:r>
        <w:rPr>
          <w:b/>
          <w:color w:val="1B2630"/>
          <w:sz w:val="20"/>
        </w:rPr>
        <w:t>eCRF 33 “welk paar” alleen in Optimal Care tonen</w:t>
      </w:r>
    </w:p>
    <w:p>
      <w:pPr>
        <w:spacing w:before="240" w:after="80"/>
      </w:pPr>
      <w:r>
        <w:rPr>
          <w:b/>
          <w:color w:val="FF7A00"/>
          <w:sz w:val="22"/>
        </w:rPr>
        <w:t>Voor het analyseplan (dec)</w:t>
      </w:r>
    </w:p>
    <w:p>
      <w:pPr>
        <w:spacing w:after="60"/>
        <w:ind w:left="340" w:hanging="340"/>
      </w:pPr>
      <w:r>
        <w:rPr>
          <w:b/>
          <w:color w:val="FF7A00"/>
          <w:sz w:val="20"/>
        </w:rPr>
        <w:t xml:space="preserve">7  </w:t>
      </w:r>
      <w:r>
        <w:rPr>
          <w:b/>
          <w:color w:val="1B2630"/>
          <w:sz w:val="20"/>
        </w:rPr>
        <w:t>Mantelzorg staat op drie formulieren</w:t>
      </w:r>
      <w:r>
        <w:rPr>
          <w:b w:val="0"/>
          <w:color w:val="5A6A78"/>
          <w:sz w:val="20"/>
        </w:rPr>
        <w:t xml:space="preserve">  — dubbeltelling vermijden</w:t>
      </w:r>
    </w:p>
    <w:p>
      <w:pPr>
        <w:spacing w:after="60"/>
        <w:ind w:left="340" w:hanging="340"/>
      </w:pPr>
      <w:r>
        <w:rPr>
          <w:b/>
          <w:color w:val="FF7A00"/>
          <w:sz w:val="20"/>
        </w:rPr>
        <w:t xml:space="preserve">8  </w:t>
      </w:r>
      <w:r>
        <w:rPr>
          <w:b/>
          <w:color w:val="1B2630"/>
          <w:sz w:val="20"/>
        </w:rPr>
        <w:t>ICUR ook per therapietrouw (80%)?</w:t>
      </w:r>
    </w:p>
    <w:p>
      <w:pPr>
        <w:spacing w:after="60"/>
        <w:ind w:left="340" w:hanging="340"/>
      </w:pPr>
      <w:r>
        <w:rPr>
          <w:b/>
          <w:color w:val="FF7A00"/>
          <w:sz w:val="20"/>
        </w:rPr>
        <w:t xml:space="preserve">9  </w:t>
      </w:r>
      <w:r>
        <w:rPr>
          <w:b/>
          <w:color w:val="1B2630"/>
          <w:sz w:val="20"/>
        </w:rPr>
        <w:t>KCE-rapport 400 (2025) als referentie?</w:t>
      </w:r>
      <w:r>
        <w:rPr>
          <w:b w:val="0"/>
          <w:color w:val="5A6A78"/>
          <w:sz w:val="20"/>
        </w:rPr>
        <w:t xml:space="preserve">  — 3% / 1,5%, scenario’s 0-3-5%, geen drempelwaarde</w:t>
      </w:r>
    </w:p>
    <w:p>
      <w:pPr>
        <w:spacing w:after="60"/>
        <w:ind w:left="340" w:hanging="340"/>
      </w:pPr>
      <w:r>
        <w:rPr>
          <w:b/>
          <w:color w:val="FF7A00"/>
          <w:sz w:val="20"/>
        </w:rPr>
        <w:t xml:space="preserve">10  </w:t>
      </w:r>
      <w:r>
        <w:rPr>
          <w:b/>
          <w:color w:val="1B2630"/>
          <w:sz w:val="20"/>
        </w:rPr>
        <w:t>Markov: bron van de utiliteiten per toestand</w:t>
      </w:r>
    </w:p>
    <w:p>
      <w:pPr>
        <w:spacing w:after="60"/>
        <w:ind w:left="340" w:hanging="340"/>
      </w:pPr>
      <w:r>
        <w:rPr>
          <w:b/>
          <w:color w:val="FF7A00"/>
          <w:sz w:val="20"/>
        </w:rPr>
        <w:t xml:space="preserve">11  </w:t>
      </w:r>
      <w:r>
        <w:rPr>
          <w:b/>
          <w:color w:val="1B2630"/>
          <w:sz w:val="20"/>
        </w:rPr>
        <w:t>Wie doet de analyse? Eerste auteur economisch paper?</w:t>
      </w:r>
    </w:p>
    <w:p>
      <w:pPr>
        <w:spacing w:before="240" w:after="80"/>
      </w:pPr>
      <w:r>
        <w:rPr>
          <w:b/>
          <w:color w:val="FF7A00"/>
          <w:sz w:val="22"/>
        </w:rPr>
        <w:t>Ter info — geen bespreking</w:t>
      </w:r>
    </w:p>
    <w:p>
      <w:pPr>
        <w:spacing w:after="60"/>
        <w:ind w:left="340" w:hanging="340"/>
      </w:pPr>
      <w:r>
        <w:rPr>
          <w:b/>
          <w:color w:val="FF7A00"/>
          <w:sz w:val="20"/>
        </w:rPr>
        <w:t xml:space="preserve">•  </w:t>
      </w:r>
      <w:r>
        <w:rPr>
          <w:b/>
          <w:color w:val="1B2630"/>
          <w:sz w:val="20"/>
        </w:rPr>
        <w:t>iMCQ/iPCQ: Nederlands origineel, A-sectie weg, 4 weken + extrapolatie</w:t>
      </w:r>
    </w:p>
    <w:p>
      <w:pPr>
        <w:spacing w:after="60"/>
        <w:ind w:left="340" w:hanging="340"/>
      </w:pPr>
      <w:r>
        <w:rPr>
          <w:b/>
          <w:color w:val="FF7A00"/>
          <w:sz w:val="20"/>
        </w:rPr>
        <w:t xml:space="preserve">•  </w:t>
      </w:r>
      <w:r>
        <w:rPr>
          <w:b/>
          <w:color w:val="1B2630"/>
          <w:sz w:val="20"/>
        </w:rPr>
        <w:t>Telefonisch afnemen mag — EQ-5D interviewerversie aanvragen</w:t>
      </w:r>
    </w:p>
    <w:p>
      <w:pPr>
        <w:spacing w:after="60"/>
        <w:ind w:left="340" w:hanging="340"/>
      </w:pPr>
      <w:r>
        <w:rPr>
          <w:b/>
          <w:color w:val="FF7A00"/>
          <w:sz w:val="20"/>
        </w:rPr>
        <w:t xml:space="preserve">•  </w:t>
      </w:r>
      <w:r>
        <w:rPr>
          <w:b/>
          <w:color w:val="1B2630"/>
          <w:sz w:val="20"/>
        </w:rPr>
        <w:t>EuroQol geregistreerd (Belgium Flemish), iMTA nog te doen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