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kleurenschaal instellen — eenmalig per laptop</w:t>
      </w:r>
    </w:p>
    <w:p>
      <w:r>
        <w:rPr>
          <w:b w:val="0"/>
          <w:i/>
          <w:sz w:val="20"/>
        </w:rPr>
        <w:t>Doe dit één keer per laptop, vóór de eerste deelnemer. Staat het palet al goed, ga dan door naar hoofdstuk 3.</w:t>
      </w:r>
    </w:p>
    <w:p>
      <w:r>
        <w:rPr>
          <w:b/>
          <w:i w:val="0"/>
          <w:sz w:val="20"/>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sz w:val="18"/>
        </w:rPr>
        <w:t>Figure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3.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sz w:val="24"/>
        </w:rPr>
        <w:t>4. Aansluiten en aanzetten</w:t>
      </w:r>
    </w:p>
    <w:p>
      <w:pPr>
        <w:keepNext/>
        <w:spacing w:before="160"/>
      </w:pPr>
      <w:r>
        <w:rPr>
          <w:b/>
          <w:sz w:val="18"/>
        </w:rPr>
        <w:t>Figure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0"/>
        </w:rPr>
        <w:t>De zolen blijven voorlopig op tafel liggen. Ze gaan pas in de schoen na het nulstellen, in stap 23.</w:t>
      </w:r>
    </w:p>
    <w:p>
      <w:pPr>
        <w:keepNext/>
        <w:spacing w:before="200" w:after="80"/>
      </w:pPr>
      <w:r>
        <w:rPr>
          <w:b/>
          <w:sz w:val="24"/>
        </w:rPr>
        <w:t>5. Toestellen verbinden</w:t>
      </w:r>
    </w:p>
    <w:p>
      <w:pPr>
        <w:keepNext/>
        <w:spacing w:before="160"/>
      </w:pPr>
      <w:r>
        <w:rPr>
          <w:b/>
          <w:sz w:val="18"/>
        </w:rPr>
        <w:t>Figure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0"/>
        </w:rPr>
        <w:t>Pas als een toestel verbonden is, verschijnt het in de balk onderaan het scherm, met zijn naam en batterijpercentage. Staan ze daar allebei, dan is de verbinding in orde.</w:t>
      </w:r>
    </w:p>
    <w:p>
      <w:pPr>
        <w:keepNext/>
        <w:spacing w:before="200" w:after="80"/>
      </w:pPr>
      <w:r>
        <w:rPr>
          <w:b/>
          <w:sz w:val="24"/>
        </w:rPr>
        <w:t>6. Het configuratiebestand koppelen</w:t>
      </w:r>
    </w:p>
    <w:p>
      <w:pPr>
        <w:keepNext/>
        <w:spacing w:before="160"/>
      </w:pPr>
      <w:r>
        <w:rPr>
          <w:b/>
          <w:sz w:val="18"/>
        </w:rPr>
        <w:t>Figure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0"/>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7. Nulstellen en meetfrequentie</w:t>
      </w:r>
    </w:p>
    <w:p>
      <w:pPr>
        <w:keepNext/>
        <w:spacing w:before="160"/>
      </w:pPr>
      <w:r>
        <w:rPr>
          <w:b/>
          <w:sz w:val="18"/>
        </w:rPr>
        <w:t>Figure 8: Measure — nulstellen en meetfrequentie</w:t>
      </w:r>
    </w:p>
    <w:p>
      <w:pPr>
        <w:spacing w:after="160"/>
        <w:jc w:val="center"/>
      </w:pPr>
      <w:r>
        <w:drawing>
          <wp:inline xmlns:a="http://schemas.openxmlformats.org/drawingml/2006/main" xmlns:pic="http://schemas.openxmlformats.org/drawingml/2006/picture">
            <wp:extent cx="5760000" cy="3443845"/>
            <wp:docPr id="8" name="Picture 8"/>
            <wp:cNvGraphicFramePr>
              <a:graphicFrameLocks noChangeAspect="1"/>
            </wp:cNvGraphicFramePr>
            <a:graphic>
              <a:graphicData uri="http://schemas.openxmlformats.org/drawingml/2006/picture">
                <pic:pic>
                  <pic:nvPicPr>
                    <pic:cNvPr id="0" name="Schermafbeelding 2026-09-10 101325.png"/>
                    <pic:cNvPicPr/>
                  </pic:nvPicPr>
                  <pic:blipFill>
                    <a:blip r:embed="rId17"/>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0"/>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sz w:val="24"/>
        </w:rPr>
        <w:t>8. De zolen in de schoen — let op de volgorde</w:t>
      </w:r>
    </w:p>
    <w:p>
      <w:r>
        <w:rPr>
          <w:b/>
          <w:i w:val="0"/>
          <w:sz w:val="20"/>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0"/>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0"/>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sz w:val="24"/>
        </w:rPr>
        <w:t>9. De meting</w:t>
      </w:r>
    </w:p>
    <w:p>
      <w:r>
        <w:rPr>
          <w:b/>
          <w:i w:val="0"/>
          <w:sz w:val="20"/>
        </w:rPr>
        <w:t>Per meetmoment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0"/>
        </w:rPr>
        <w:t>De 25%-reductie wordt tussen A en B gerekend, in dezelfde sessie.</w:t>
      </w:r>
    </w:p>
    <w:p>
      <w:r>
        <w:rPr>
          <w:b w:val="0"/>
          <w:i/>
          <w:sz w:val="20"/>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0"/>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9: Chart controls — het meetvenster afbakenen</w:t>
      </w:r>
    </w:p>
    <w:p>
      <w:pPr>
        <w:spacing w:after="160"/>
        <w:jc w:val="center"/>
      </w:pPr>
      <w:r>
        <w:drawing>
          <wp:inline xmlns:a="http://schemas.openxmlformats.org/drawingml/2006/main" xmlns:pic="http://schemas.openxmlformats.org/drawingml/2006/picture">
            <wp:extent cx="5760000" cy="3339490"/>
            <wp:docPr id="9" name="Picture 9"/>
            <wp:cNvGraphicFramePr>
              <a:graphicFrameLocks noChangeAspect="1"/>
            </wp:cNvGraphicFramePr>
            <a:graphic>
              <a:graphicData uri="http://schemas.openxmlformats.org/drawingml/2006/picture">
                <pic:pic>
                  <pic:nvPicPr>
                    <pic:cNvPr id="0" name="Schermafbeelding 2026-09-10 100125.png"/>
                    <pic:cNvPicPr/>
                  </pic:nvPicPr>
                  <pic:blipFill>
                    <a:blip r:embed="rId18"/>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en gebruik ‘Set Range’ of de tijdbalk om alleen het mid-gait deel in beeld te brengen. ‘Fit All Data’ zet de weergave terug op de volledige meting. Of de getallen daarmee ook herberekend worden is nog niet bevestigd — zie hoofdstuk 11; voor de piekdruk maakt het niet uit.</w:t>
      </w:r>
    </w:p>
    <w:p>
      <w:pPr>
        <w:keepNext/>
        <w:spacing w:before="160"/>
      </w:pPr>
      <w:r>
        <w:rPr>
          <w:b/>
          <w:sz w:val="18"/>
        </w:rPr>
        <w:t>Figure 10: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0" name="Picture 10"/>
            <wp:cNvGraphicFramePr>
              <a:graphicFrameLocks noChangeAspect="1"/>
            </wp:cNvGraphicFramePr>
            <a:graphic>
              <a:graphicData uri="http://schemas.openxmlformats.org/drawingml/2006/picture">
                <pic:pic>
                  <pic:nvPicPr>
                    <pic:cNvPr id="0" name="Schermafbeelding 2026-09-10 095945.png"/>
                    <pic:cNvPicPr/>
                  </pic:nvPicPr>
                  <pic:blipFill>
                    <a:blip r:embed="rId19"/>
                    <a:stretch>
                      <a:fillRect/>
                    </a:stretch>
                  </pic:blipFill>
                  <pic:spPr>
                    <a:xfrm>
                      <a:off x="0" y="0"/>
                      <a:ext cx="5760000" cy="3343059"/>
                    </a:xfrm>
                    <a:prstGeom prst="rect"/>
                  </pic:spPr>
                </pic:pic>
              </a:graphicData>
            </a:graphic>
          </wp:inline>
        </w:drawing>
      </w:r>
    </w:p>
    <w:p>
      <w:pPr>
        <w:keepNext/>
        <w:spacing w:before="160"/>
      </w:pPr>
      <w:r>
        <w:rPr>
          <w:b/>
          <w:sz w:val="18"/>
        </w:rPr>
        <w:t>Figure 11: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1" name="Picture 11"/>
            <wp:cNvGraphicFramePr>
              <a:graphicFrameLocks noChangeAspect="1"/>
            </wp:cNvGraphicFramePr>
            <a:graphic>
              <a:graphicData uri="http://schemas.openxmlformats.org/drawingml/2006/picture">
                <pic:pic>
                  <pic:nvPicPr>
                    <pic:cNvPr id="0" name="Schermafbeelding 2026-09-10 100159.png"/>
                    <pic:cNvPicPr/>
                  </pic:nvPicPr>
                  <pic:blipFill>
                    <a:blip r:embed="rId20"/>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De drie doelregio’s zijn bij de aanmaak van de zool aangeduid en staan op eCRF 10 en 24: de regio met de voorgeschiedenis van voetzweer, plus de één of twee regio’s met de hoogste piekdruk op de baselinemeting. Ze liggen vast voor de hele studie — kies ze niet opnieuw bij elke visite.</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11.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0"/>
        </w:rPr>
        <w:t>De drie staan in die volgorde als tabbladen links in Archive &amp; Analyse, onder MPP.</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r>
        <w:rPr>
          <w:b w:val="0"/>
          <w:i w:val="0"/>
          <w:sz w:val="20"/>
        </w:rPr>
        <w:t>Lukt het aan de stoel niet, meet dan gewoon door. Het studieteam kan de frames achteraf uit het bestand knippen — zie hoofdstuk 13. Herhaal de doorgang alleen als de deelnemer zó lang stilstond dat er te weinig stappen overblijven.</w:t>
      </w:r>
    </w:p>
    <w:p>
      <w:pPr>
        <w:keepNext/>
        <w:spacing w:before="200" w:after="80"/>
      </w:pPr>
      <w:r>
        <w:rPr>
          <w:b/>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sz w:val="24"/>
        </w:rPr>
        <w:t>13. Wat er daarna met de meting gebeurt</w:t>
      </w:r>
    </w:p>
    <w:p>
      <w:r>
        <w:rPr>
          <w:b w:val="0"/>
          <w:i w:val="0"/>
          <w:sz w:val="20"/>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0"/>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36"/>
        <w:gridCol w:w="4536"/>
      </w:tblGrid>
      <w:tr>
        <w:tc>
          <w:tcPr>
            <w:tcW w:type="dxa" w:w="2551"/>
          </w:tcPr>
          <w:p>
            <w:r/>
            <w:r>
              <w:rPr>
                <w:b/>
                <w:sz w:val="18"/>
              </w:rPr>
              <w:t>Programma</w:t>
            </w:r>
          </w:p>
        </w:tc>
        <w:tc>
          <w:tcPr>
            <w:tcW w:type="dxa" w:w="6236"/>
          </w:tcPr>
          <w:p>
            <w:r/>
            <w:r>
              <w:rPr>
                <w:b/>
                <w:sz w:val="18"/>
              </w:rPr>
              <w:t>Wat het met jouw bestand doet</w:t>
            </w:r>
          </w:p>
        </w:tc>
      </w:tr>
      <w:tr>
        <w:tc>
          <w:tcPr>
            <w:tcW w:type="dxa" w:w="2551"/>
          </w:tcPr>
          <w:p>
            <w:r/>
            <w:r>
              <w:rPr>
                <w:sz w:val="18"/>
              </w:rPr>
              <w:t>creation of any and</w:t>
              <w:br/>
              <w:t>percent masks</w:t>
            </w:r>
          </w:p>
        </w:tc>
        <w:tc>
          <w:tcPr>
            <w:tcW w:type="dxa" w:w="6236"/>
          </w:tcPr>
          <w:p>
            <w:r/>
            <w:r>
              <w:rPr>
                <w:sz w:val="18"/>
              </w:rPr>
              <w:t>Tekent de acht regio's van het protocol één keer als masker op de zool</w:t>
            </w:r>
          </w:p>
        </w:tc>
      </w:tr>
      <w:tr>
        <w:tc>
          <w:tcPr>
            <w:tcW w:type="dxa" w:w="2551"/>
          </w:tcPr>
          <w:p>
            <w:r/>
            <w:r>
              <w:rPr>
                <w:sz w:val="18"/>
              </w:rPr>
              <w:t>multimask evaluation</w:t>
            </w:r>
          </w:p>
        </w:tc>
        <w:tc>
          <w:tcPr>
            <w:tcW w:type="dxa" w:w="6236"/>
          </w:tcPr>
          <w:p>
            <w:r/>
            <w:r>
              <w:rPr>
                <w:sz w:val="18"/>
              </w:rPr>
              <w:t>Rekent de piekdruk per regio uit voor één meting</w:t>
            </w:r>
          </w:p>
        </w:tc>
      </w:tr>
      <w:tr>
        <w:tc>
          <w:tcPr>
            <w:tcW w:type="dxa" w:w="2551"/>
          </w:tcPr>
          <w:p>
            <w:r/>
            <w:r>
              <w:rPr>
                <w:sz w:val="18"/>
              </w:rPr>
              <w:t>groupmask evaluation</w:t>
            </w:r>
          </w:p>
        </w:tc>
        <w:tc>
          <w:tcPr>
            <w:tcW w:type="dxa" w:w="6236"/>
          </w:tcPr>
          <w:p>
            <w:r/>
            <w:r>
              <w:rPr>
                <w:sz w:val="18"/>
              </w:rPr>
              <w:t>Doet hetzelfde over alle metingen van de studie tegelijk</w:t>
            </w:r>
          </w:p>
        </w:tc>
      </w:tr>
      <w:tr>
        <w:tc>
          <w:tcPr>
            <w:tcW w:type="dxa" w:w="2551"/>
          </w:tcPr>
          <w:p>
            <w:r/>
            <w:r>
              <w:rPr>
                <w:sz w:val="18"/>
              </w:rPr>
              <w:t>file master</w:t>
            </w:r>
          </w:p>
        </w:tc>
        <w:tc>
          <w:tcPr>
            <w:tcW w:type="dxa" w:w="6236"/>
          </w:tcPr>
          <w:p>
            <w:r/>
            <w:r>
              <w:rPr>
                <w:sz w:val="18"/>
              </w:rPr>
              <w:t>Knipt frames weg tussen twee markers — hiermee gaat een pauze of een misstap er alsnog uit</w:t>
            </w:r>
          </w:p>
        </w:tc>
      </w:tr>
    </w:tbl>
    <w:p/>
    <w:p>
      <w:r>
        <w:rPr>
          <w:b/>
          <w:i w:val="0"/>
          <w:sz w:val="20"/>
        </w:rPr>
        <w:t>Daarom is het exportbestand geen bijzaak: het is de eigenlijke meetdata. De schermafbeelding in de eCRF-Excel legt jouw beoordeling vast, het bestand legt de meting vast. Beide zijn nodig.</w:t>
      </w:r>
    </w:p>
    <w:p>
      <w:r>
        <w:rPr>
          <w:b w:val="0"/>
          <w:i w:val="0"/>
          <w:sz w:val="20"/>
        </w:rPr>
        <w:t>Bewaar het bestand tot het studieteam bevestigt dat het goed is aangekomen. Verwijder nooit een meting van de laptop op eigen initiatief.</w:t>
      </w:r>
    </w:p>
    <w:p>
      <w:pPr>
        <w:keepNext/>
        <w:spacing w:before="200" w:after="80"/>
      </w:pPr>
      <w:r>
        <w:rPr>
          <w:b/>
          <w:sz w:val="24"/>
        </w:rPr>
        <w:t>14.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pPr>
        <w:keepNext/>
        <w:spacing w:before="200" w:after="80"/>
      </w:pPr>
      <w:r>
        <w:rPr>
          <w:b/>
          <w:sz w:val="24"/>
        </w:rPr>
        <w:t>15. Als er iets misloopt</w:t>
      </w:r>
    </w:p>
    <w:tbl>
      <w:tblPr>
        <w:tblStyle w:val="TableGrid"/>
        <w:tblW w:type="auto" w:w="0"/>
        <w:jc w:val="left"/>
        <w:tblLook w:firstColumn="1" w:firstRow="1" w:lastColumn="0" w:lastRow="0" w:noHBand="0" w:noVBand="1" w:val="04A0"/>
      </w:tblPr>
      <w:tblGrid>
        <w:gridCol w:w="4536"/>
        <w:gridCol w:w="4536"/>
      </w:tblGrid>
      <w:tr>
        <w:tc>
          <w:tcPr>
            <w:tcW w:type="dxa" w:w="3288"/>
          </w:tcPr>
          <w:p>
            <w:r/>
            <w:r>
              <w:rPr>
                <w:b/>
                <w:sz w:val="18"/>
              </w:rPr>
              <w:t>Wat je ziet</w:t>
            </w:r>
          </w:p>
        </w:tc>
        <w:tc>
          <w:tcPr>
            <w:tcW w:type="dxa" w:w="5783"/>
          </w:tcPr>
          <w:p>
            <w:r/>
            <w:r>
              <w:rPr>
                <w:b/>
                <w:sz w:val="18"/>
              </w:rPr>
              <w:t>Wat je doet</w:t>
            </w:r>
          </w:p>
        </w:tc>
      </w:tr>
      <w:tr>
        <w:tc>
          <w:tcPr>
            <w:tcW w:type="dxa" w:w="3288"/>
          </w:tcPr>
          <w:p>
            <w:r/>
            <w:r>
              <w:rPr>
                <w:sz w:val="18"/>
              </w:rPr>
              <w:t>Een toestel verschijnt niet bij ‘Scan Wi-Fi’</w:t>
            </w:r>
          </w:p>
        </w:tc>
        <w:tc>
          <w:tcPr>
            <w:tcW w:type="dxa" w:w="5783"/>
          </w:tcPr>
          <w:p>
            <w:r/>
            <w:r>
              <w:rPr>
                <w:sz w:val="18"/>
              </w:rPr>
              <w:t>Staat de router aan? Staat de zender aan? Ben je binnen bereik? Scan opnieuw.</w:t>
            </w:r>
          </w:p>
        </w:tc>
      </w:tr>
      <w:tr>
        <w:tc>
          <w:tcPr>
            <w:tcW w:type="dxa" w:w="3288"/>
          </w:tcPr>
          <w:p>
            <w:r/>
            <w:r>
              <w:rPr>
                <w:sz w:val="18"/>
              </w:rPr>
              <w:t>Het toestel blijft op ‘Device lost’ staan</w:t>
            </w:r>
          </w:p>
        </w:tc>
        <w:tc>
          <w:tcPr>
            <w:tcW w:type="dxa" w:w="5783"/>
          </w:tcPr>
          <w:p>
            <w:r/>
            <w:r>
              <w:rPr>
                <w:sz w:val="18"/>
              </w:rPr>
              <w:t>Klik opnieuw op ‘Connect’. Helpt dat niet, zet de zender uit en weer aan.</w:t>
            </w:r>
          </w:p>
        </w:tc>
      </w:tr>
      <w:tr>
        <w:tc>
          <w:tcPr>
            <w:tcW w:type="dxa" w:w="3288"/>
          </w:tcPr>
          <w:p>
            <w:r/>
            <w:r>
              <w:rPr>
                <w:sz w:val="18"/>
              </w:rPr>
              <w:t>‘Not zeroed’ verdwijnt niet</w:t>
            </w:r>
          </w:p>
        </w:tc>
        <w:tc>
          <w:tcPr>
            <w:tcW w:type="dxa" w:w="5783"/>
          </w:tcPr>
          <w:p>
            <w:r/>
            <w:r>
              <w:rPr>
                <w:sz w:val="18"/>
              </w:rPr>
              <w:t>De zolen moeten volledig onbelast zijn: vlak op tafel, niets erop, en niet vastgehouden. Probeer opnieuw.</w:t>
            </w:r>
          </w:p>
        </w:tc>
      </w:tr>
      <w:tr>
        <w:tc>
          <w:tcPr>
            <w:tcW w:type="dxa" w:w="3288"/>
          </w:tcPr>
          <w:p>
            <w:r/>
            <w:r>
              <w:rPr>
                <w:sz w:val="18"/>
              </w:rPr>
              <w:t>Bij ‘Configuration’ staat geen of het verkeerde bestand</w:t>
            </w:r>
          </w:p>
        </w:tc>
        <w:tc>
          <w:tcPr>
            <w:tcW w:type="dxa" w:w="5783"/>
          </w:tcPr>
          <w:p>
            <w:r/>
            <w:r>
              <w:rPr>
                <w:sz w:val="18"/>
              </w:rPr>
              <w:t>Ga terug naar ‘Select config file’ en kies links, in de kolom van het toestel, het bestand dat overeenkomt met het label op de zool. Meet niet verder tot dit klopt.</w:t>
            </w:r>
          </w:p>
        </w:tc>
      </w:tr>
      <w:tr>
        <w:tc>
          <w:tcPr>
            <w:tcW w:type="dxa" w:w="3288"/>
          </w:tcPr>
          <w:p>
            <w:r/>
            <w:r>
              <w:rPr>
                <w:sz w:val="18"/>
              </w:rPr>
              <w:t>Het configuratiebestand staat niet in de rechterkolom</w:t>
            </w:r>
          </w:p>
        </w:tc>
        <w:tc>
          <w:tcPr>
            <w:tcW w:type="dxa" w:w="5783"/>
          </w:tcPr>
          <w:p>
            <w:r/>
            <w:r>
              <w:rPr>
                <w:sz w:val="18"/>
              </w:rPr>
              <w:t>Dat hindert de meting niet — de linkerkolom telt. Wil je het bestand toch lokaal, gebruik dan ‘Pick configuration file’ of ‘Import config file’.</w:t>
            </w:r>
          </w:p>
        </w:tc>
      </w:tr>
      <w:tr>
        <w:tc>
          <w:tcPr>
            <w:tcW w:type="dxa" w:w="3288"/>
          </w:tcPr>
          <w:p>
            <w:r/>
            <w:r>
              <w:rPr>
                <w:sz w:val="18"/>
              </w:rPr>
              <w:t>Er staan minder dan 99 actieve cellen</w:t>
            </w:r>
          </w:p>
        </w:tc>
        <w:tc>
          <w:tcPr>
            <w:tcW w:type="dxa" w:w="5783"/>
          </w:tcPr>
          <w:p>
            <w:r/>
            <w:r>
              <w:rPr>
                <w:sz w:val="18"/>
              </w:rPr>
              <w:t>Er zijn sensorcellen uitgeschakeld. Meld dit en meet niet verder.</w:t>
            </w:r>
          </w:p>
        </w:tc>
      </w:tr>
      <w:tr>
        <w:tc>
          <w:tcPr>
            <w:tcW w:type="dxa" w:w="3288"/>
          </w:tcPr>
          <w:p>
            <w:r/>
            <w:r>
              <w:rPr>
                <w:sz w:val="18"/>
              </w:rPr>
              <w:t>Het beeld toont maar één voet</w:t>
            </w:r>
          </w:p>
        </w:tc>
        <w:tc>
          <w:tcPr>
            <w:tcW w:type="dxa" w:w="5783"/>
          </w:tcPr>
          <w:p>
            <w:r/>
            <w:r>
              <w:rPr>
                <w:sz w:val="18"/>
              </w:rPr>
              <w:t>Controleer de connector tussen zool en zender, en of beide toestellen op ‘Ready’ staan.</w:t>
            </w:r>
          </w:p>
        </w:tc>
      </w:tr>
      <w:tr>
        <w:tc>
          <w:tcPr>
            <w:tcW w:type="dxa" w:w="3288"/>
          </w:tcPr>
          <w:p>
            <w:r/>
            <w:r>
              <w:rPr>
                <w:sz w:val="18"/>
              </w:rPr>
              <w:t>Minder dan 12 bruikbare stappen per voet</w:t>
            </w:r>
          </w:p>
        </w:tc>
        <w:tc>
          <w:tcPr>
            <w:tcW w:type="dxa" w:w="5783"/>
          </w:tcPr>
          <w:p>
            <w:r/>
            <w:r>
              <w:rPr>
                <w:sz w:val="18"/>
              </w:rPr>
              <w:t>Laat de deelnemer nog een doorgang lopen en meet opnieuw.</w:t>
            </w:r>
          </w:p>
        </w:tc>
      </w:tr>
      <w:tr>
        <w:tc>
          <w:tcPr>
            <w:tcW w:type="dxa" w:w="3288"/>
          </w:tcPr>
          <w:p>
            <w:r/>
            <w:r>
              <w:rPr>
                <w:sz w:val="18"/>
              </w:rPr>
              <w:t>De batterij valt uit tijdens de meting</w:t>
            </w:r>
          </w:p>
        </w:tc>
        <w:tc>
          <w:tcPr>
            <w:tcW w:type="dxa" w:w="5783"/>
          </w:tcPr>
          <w:p>
            <w:r/>
            <w:r>
              <w:rPr>
                <w:sz w:val="18"/>
              </w:rPr>
              <w:t>De meting is onbruikbaar. Laad op en stel opnieuw nul — en doe dan béide condities over, want na een nieuwe nulstelling staan ze niet meer op dezelfde nullijn.</w:t>
            </w:r>
          </w:p>
        </w:tc>
      </w:tr>
      <w:tr>
        <w:tc>
          <w:tcPr>
            <w:tcW w:type="dxa" w:w="3288"/>
          </w:tcPr>
          <w:p>
            <w:r/>
            <w:r>
              <w:rPr>
                <w:sz w:val="18"/>
              </w:rPr>
              <w:t>De deelnemer bleef halverwege staan</w:t>
            </w:r>
          </w:p>
        </w:tc>
        <w:tc>
          <w:tcPr>
            <w:tcW w:type="dxa" w:w="5783"/>
          </w:tcPr>
          <w:p>
            <w:r/>
            <w:r>
              <w:rPr>
                <w:sz w:val="18"/>
              </w:rPr>
              <w:t>Voor de norm geen probleem: MPP verandert er niet door. Wil je de gemiddelden gebruiken, bakent ‘Set Range’ het wandeldeel af — zie hoofdstuk 11. Lukt dat niet, dan knipt het studieteam de frames er achteraf uit.</w:t>
            </w:r>
          </w:p>
        </w:tc>
      </w:tr>
    </w:tbl>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Of ‘Set Range’ de waarden herberekent of alleen de grafiek inzoomt. Te toetsen tijdens de droogloop, met één opname die twee keer wordt afgelezen.</w:t>
      </w:r>
    </w:p>
    <w:p>
      <w:pPr>
        <w:ind w:left="397" w:hanging="397"/>
      </w:pPr>
      <w:r>
        <w:rPr>
          <w:b/>
        </w:rPr>
        <w:t xml:space="preserve">4. </w:t>
      </w:r>
      <w:r>
        <w:t>Welke MVP-weergave het studieteam wil voor de secundaire analyses: MVP O, LF of LC. Voor de norm maakt het niet uit, want die gaat op MPP.</w:t>
      </w:r>
    </w:p>
    <w:p>
      <w:pPr>
        <w:ind w:left="397" w:hanging="397"/>
      </w:pPr>
      <w:r>
        <w:rPr>
          <w:b/>
        </w:rPr>
        <w:t xml:space="preserve">5. </w:t>
      </w:r>
      <w:r>
        <w:t>Minimum batterijniveau om aan een meting te beginnen.</w:t>
      </w:r>
    </w:p>
    <w:p>
      <w:pPr>
        <w:ind w:left="397" w:hanging="397"/>
      </w:pPr>
      <w:r>
        <w:rPr>
          <w:b/>
        </w:rPr>
        <w:t xml:space="preserve">6. </w:t>
      </w:r>
      <w:r>
        <w:t>Exportformaat en bestandsnaamgeving, en langs welke weg de meting en de schermafbeeldingen bij het onderzoeksteam raken. Hangt samen met de beslissing over de formulierenroute.</w:t>
      </w:r>
    </w:p>
    <w:p>
      <w:pPr>
        <w:ind w:left="397" w:hanging="397"/>
      </w:pPr>
      <w:r>
        <w:rPr>
          <w:b/>
        </w:rPr>
        <w:t xml:space="preserve">7. </w:t>
      </w:r>
      <w:r>
        <w:t>Waar de novel database staat en wie ze beheert. Ze is geïnstalleerd op de onderzoekslaptop maar nog niet aangemaakt. Vast te leggen: één centrale database of één per centrum, welke identificatie in het veld Persons komt — uitsluitend de deelnemerscode —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