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324 velden over 41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Veertien events per arm. De offsets zijn dagen ten opzichte van visite 1, de baseline; die is dus het anker. Vul ze in bij “Define My Events” als je de schedulingmodule gebruikt; doe je dat niet, dan zijn ze documentatie en mag je ze weglaten.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REDCap leidt de unieke eventnaam af uit het label. De labels hierboven zijn kort gehouden zodat die afleiding voorspelbaar is: “Visite 1” wordt visite_1_arm_1. **Controleer na het aanmaken of de gegenereerde namen overeenkomen met de kolom unique_event_name in events.csv**,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Volgorde van opbouw, en waar je veilig fouten maakt</w:t>
      </w:r>
    </w:p>
    <w:p>
      <w:pPr>
        <w:spacing w:before="0" w:after="80"/>
      </w:pPr>
      <w:r>
        <w:rPr>
          <w:rFonts w:ascii="Segoe UI" w:hAnsi="Segoe UI" w:eastAsia="Segoe UI"/>
          <w:b w:val="0"/>
          <w:i w:val="0"/>
          <w:color w:val="1B2630"/>
          <w:sz w:val="19"/>
        </w:rPr>
        <w:t>Een nieuw REDCap-project staat in **Development**-status,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680"/>
            <w:shd w:val="clear" w:color="auto" w:fill="1D8DB0"/>
          </w:tcPr>
          <w:p>
            <w:pPr>
              <w:spacing w:before="30" w:after="30" w:line="252" w:lineRule="auto"/>
            </w:pPr>
            <w:r/>
            <w:r>
              <w:rPr>
                <w:rFonts w:ascii="Segoe UI" w:hAnsi="Segoe UI" w:eastAsia="Segoe UI"/>
                <w:b/>
                <w:i w:val="0"/>
                <w:color w:val="FFFFFF"/>
                <w:sz w:val="15"/>
              </w:rPr>
              <w:t>Stap</w:t>
            </w:r>
          </w:p>
        </w:tc>
        <w:tc>
          <w:tcPr>
            <w:tcW w:type="dxa" w:w="5783"/>
            <w:shd w:val="clear" w:color="auto" w:fill="1D8DB0"/>
          </w:tcPr>
          <w:p>
            <w:pPr>
              <w:spacing w:before="30" w:after="30" w:line="252" w:lineRule="auto"/>
            </w:pPr>
            <w:r/>
            <w:r>
              <w:rPr>
                <w:rFonts w:ascii="Segoe UI" w:hAnsi="Segoe UI" w:eastAsia="Segoe UI"/>
                <w:b/>
                <w:i w:val="0"/>
                <w:color w:val="FFFFFF"/>
                <w:sz w:val="15"/>
              </w:rPr>
              <w:t>Wat</w:t>
            </w:r>
          </w:p>
        </w:tc>
        <w:tc>
          <w:tcPr>
            <w:tcW w:type="dxa" w:w="3402"/>
            <w:shd w:val="clear" w:color="auto" w:fill="1D8DB0"/>
          </w:tcPr>
          <w:p>
            <w:pPr>
              <w:spacing w:before="30" w:after="30" w:line="252" w:lineRule="auto"/>
            </w:pPr>
            <w:r/>
            <w:r>
              <w:rPr>
                <w:rFonts w:ascii="Segoe UI" w:hAnsi="Segoe UI" w:eastAsia="Segoe UI"/>
                <w:b/>
                <w:i w:val="0"/>
                <w:color w:val="FFFFFF"/>
                <w:sz w:val="15"/>
              </w:rPr>
              <w:t>Waar in REDCap</w:t>
            </w:r>
          </w:p>
        </w:tc>
      </w:tr>
      <w:tr>
        <w:tc>
          <w:tcPr>
            <w:tcW w:type="dxa" w:w="680"/>
          </w:tcPr>
          <w:p>
            <w:pPr>
              <w:spacing w:before="30" w:after="30" w:line="252" w:lineRule="auto"/>
            </w:pPr>
            <w:r/>
            <w:r>
              <w:rPr>
                <w:rFonts w:ascii="Segoe UI" w:hAnsi="Segoe UI" w:eastAsia="Segoe UI"/>
                <w:b w:val="0"/>
                <w:i w:val="0"/>
                <w:color w:val="1B2630"/>
                <w:sz w:val="15"/>
              </w:rPr>
              <w:t>1</w:t>
            </w:r>
          </w:p>
        </w:tc>
        <w:tc>
          <w:tcPr>
            <w:tcW w:type="dxa" w:w="5783"/>
          </w:tcPr>
          <w:p>
            <w:pPr>
              <w:spacing w:before="30" w:after="30" w:line="252" w:lineRule="auto"/>
            </w:pPr>
            <w:r/>
            <w:r>
              <w:rPr>
                <w:rFonts w:ascii="Segoe UI" w:hAnsi="Segoe UI" w:eastAsia="Segoe UI"/>
                <w:b w:val="0"/>
                <w:i w:val="0"/>
                <w:color w:val="1B2630"/>
                <w:sz w:val="15"/>
              </w:rPr>
              <w:t>Project aanmaken als longitudinaal, met armen ingeschakeld. Blijft in Development.</w:t>
            </w:r>
          </w:p>
        </w:tc>
        <w:tc>
          <w:tcPr>
            <w:tcW w:type="dxa" w:w="3402"/>
          </w:tcPr>
          <w:p>
            <w:pPr>
              <w:spacing w:before="30" w:after="30" w:line="252" w:lineRule="auto"/>
            </w:pPr>
            <w:r/>
            <w:r>
              <w:rPr>
                <w:rFonts w:ascii="Segoe UI" w:hAnsi="Segoe UI" w:eastAsia="Segoe UI"/>
                <w:b w:val="0"/>
                <w:i w:val="0"/>
                <w:color w:val="1B2630"/>
                <w:sz w:val="15"/>
              </w:rPr>
              <w:t>Project Setup</w:t>
            </w:r>
          </w:p>
        </w:tc>
      </w:tr>
      <w:tr>
        <w:tc>
          <w:tcPr>
            <w:tcW w:type="dxa" w:w="680"/>
          </w:tcPr>
          <w:p>
            <w:pPr>
              <w:spacing w:before="30" w:after="30" w:line="252" w:lineRule="auto"/>
            </w:pPr>
            <w:r/>
            <w:r>
              <w:rPr>
                <w:rFonts w:ascii="Segoe UI" w:hAnsi="Segoe UI" w:eastAsia="Segoe UI"/>
                <w:b w:val="0"/>
                <w:i w:val="0"/>
                <w:color w:val="1B2630"/>
                <w:sz w:val="15"/>
              </w:rPr>
              <w:t>2</w:t>
            </w:r>
          </w:p>
        </w:tc>
        <w:tc>
          <w:tcPr>
            <w:tcW w:type="dxa" w:w="5783"/>
          </w:tcPr>
          <w:p>
            <w:pPr>
              <w:spacing w:before="30" w:after="30" w:line="252" w:lineRule="auto"/>
            </w:pPr>
            <w:r/>
            <w:r>
              <w:rPr>
                <w:rFonts w:ascii="Segoe UI" w:hAnsi="Segoe UI" w:eastAsia="Segoe UI"/>
                <w:b w:val="0"/>
                <w:i w:val="0"/>
                <w:color w:val="1B2630"/>
                <w:sz w:val="15"/>
              </w:rPr>
              <w:t>Twee armen aanmaken: Usual Care en Optimal Care.</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3</w:t>
            </w:r>
          </w:p>
        </w:tc>
        <w:tc>
          <w:tcPr>
            <w:tcW w:type="dxa" w:w="5783"/>
          </w:tcPr>
          <w:p>
            <w:pPr>
              <w:spacing w:before="30" w:after="30" w:line="252" w:lineRule="auto"/>
            </w:pPr>
            <w:r/>
            <w:r>
              <w:rPr>
                <w:rFonts w:ascii="Segoe UI" w:hAnsi="Segoe UI" w:eastAsia="Segoe UI"/>
                <w:b w:val="0"/>
                <w:i w:val="0"/>
                <w:color w:val="1B2630"/>
                <w:sz w:val="15"/>
              </w:rPr>
              <w:t>De veertien events per arm aanmaken, met offsets.</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4</w:t>
            </w:r>
          </w:p>
        </w:tc>
        <w:tc>
          <w:tcPr>
            <w:tcW w:type="dxa" w:w="5783"/>
          </w:tcPr>
          <w:p>
            <w:pPr>
              <w:spacing w:before="30" w:after="30" w:line="252" w:lineRule="auto"/>
            </w:pPr>
            <w:r/>
            <w:r>
              <w:rPr>
                <w:rFonts w:ascii="Segoe UI" w:hAnsi="Segoe UI" w:eastAsia="Segoe UI"/>
                <w:b w:val="0"/>
                <w:i w:val="0"/>
                <w:color w:val="1B2630"/>
                <w:sz w:val="15"/>
              </w:rPr>
              <w:t>Unieke eventnamen vergelijken met events.csv en verschillen noteren.</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5</w:t>
            </w:r>
          </w:p>
        </w:tc>
        <w:tc>
          <w:tcPr>
            <w:tcW w:type="dxa" w:w="5783"/>
          </w:tcPr>
          <w:p>
            <w:pPr>
              <w:spacing w:before="30" w:after="30" w:line="252" w:lineRule="auto"/>
            </w:pPr>
            <w:r/>
            <w:r>
              <w:rPr>
                <w:rFonts w:ascii="Segoe UI" w:hAnsi="Segoe UI" w:eastAsia="Segoe UI"/>
                <w:b w:val="0"/>
                <w:i w:val="0"/>
                <w:color w:val="1B2630"/>
                <w:sz w:val="15"/>
              </w:rPr>
              <w:t>Dagboek, Ulcus en AE SAE als herhalend markeren.</w:t>
            </w:r>
          </w:p>
        </w:tc>
        <w:tc>
          <w:tcPr>
            <w:tcW w:type="dxa" w:w="3402"/>
          </w:tcPr>
          <w:p>
            <w:pPr>
              <w:spacing w:before="30" w:after="30" w:line="252" w:lineRule="auto"/>
            </w:pPr>
            <w:r/>
            <w:r>
              <w:rPr>
                <w:rFonts w:ascii="Segoe UI" w:hAnsi="Segoe UI" w:eastAsia="Segoe UI"/>
                <w:b w:val="0"/>
                <w:i w:val="0"/>
                <w:color w:val="1B2630"/>
                <w:sz w:val="15"/>
              </w:rPr>
              <w:t>Repeating Instruments and Events</w:t>
            </w:r>
          </w:p>
        </w:tc>
      </w:tr>
      <w:tr>
        <w:tc>
          <w:tcPr>
            <w:tcW w:type="dxa" w:w="680"/>
          </w:tcPr>
          <w:p>
            <w:pPr>
              <w:spacing w:before="30" w:after="30" w:line="252" w:lineRule="auto"/>
            </w:pPr>
            <w:r/>
            <w:r>
              <w:rPr>
                <w:rFonts w:ascii="Segoe UI" w:hAnsi="Segoe UI" w:eastAsia="Segoe UI"/>
                <w:b w:val="0"/>
                <w:i w:val="0"/>
                <w:color w:val="1B2630"/>
                <w:sz w:val="15"/>
              </w:rPr>
              <w:t>6</w:t>
            </w:r>
          </w:p>
        </w:tc>
        <w:tc>
          <w:tcPr>
            <w:tcW w:type="dxa" w:w="5783"/>
          </w:tcPr>
          <w:p>
            <w:pPr>
              <w:spacing w:before="30" w:after="30" w:line="252" w:lineRule="auto"/>
            </w:pPr>
            <w:r/>
            <w:r>
              <w:rPr>
                <w:rFonts w:ascii="Segoe UI" w:hAnsi="Segoe UI" w:eastAsia="Segoe UI"/>
                <w:b w:val="0"/>
                <w:i w:val="0"/>
                <w:color w:val="1B2630"/>
                <w:sz w:val="15"/>
              </w:rPr>
              <w:t>data_dictionary_PARADISE.csv importeren. Dat zet de tien CTU-formulieren volledig neer en de eenendertig klinische instrumenten als skelet, elk met een datumveld, een invoerdersveld en een markering dat de inhoud nog volgt.</w:t>
            </w:r>
          </w:p>
        </w:tc>
        <w:tc>
          <w:tcPr>
            <w:tcW w:type="dxa" w:w="3402"/>
          </w:tcPr>
          <w:p>
            <w:pPr>
              <w:spacing w:before="30" w:after="30" w:line="252" w:lineRule="auto"/>
            </w:pPr>
            <w:r/>
            <w:r>
              <w:rPr>
                <w:rFonts w:ascii="Segoe UI" w:hAnsi="Segoe UI" w:eastAsia="Segoe UI"/>
                <w:b w:val="0"/>
                <w:i w:val="0"/>
                <w:color w:val="1B2630"/>
                <w:sz w:val="15"/>
              </w:rPr>
              <w:t>Data Dictionary upload</w:t>
            </w:r>
          </w:p>
        </w:tc>
      </w:tr>
      <w:tr>
        <w:tc>
          <w:tcPr>
            <w:tcW w:type="dxa" w:w="680"/>
          </w:tcPr>
          <w:p>
            <w:pPr>
              <w:spacing w:before="30" w:after="30" w:line="252" w:lineRule="auto"/>
            </w:pPr>
            <w:r/>
            <w:r>
              <w:rPr>
                <w:rFonts w:ascii="Segoe UI" w:hAnsi="Segoe UI" w:eastAsia="Segoe UI"/>
                <w:b w:val="0"/>
                <w:i w:val="0"/>
                <w:color w:val="1B2630"/>
                <w:sz w:val="15"/>
              </w:rPr>
              <w:t>7</w:t>
            </w:r>
          </w:p>
        </w:tc>
        <w:tc>
          <w:tcPr>
            <w:tcW w:type="dxa" w:w="5783"/>
          </w:tcPr>
          <w:p>
            <w:pPr>
              <w:spacing w:before="30" w:after="30" w:line="252" w:lineRule="auto"/>
            </w:pPr>
            <w:r/>
            <w:r>
              <w:rPr>
                <w:rFonts w:ascii="Segoe UI" w:hAnsi="Segoe UI" w:eastAsia="Segoe UI"/>
                <w:b w:val="0"/>
                <w:i w:val="0"/>
                <w:color w:val="1B2630"/>
                <w:sz w:val="15"/>
              </w:rPr>
              <w:t>instrument_event_mapping.csv importeren. Vanaf hier staat het skelet en kun je door de events klikken.</w:t>
            </w:r>
          </w:p>
        </w:tc>
        <w:tc>
          <w:tcPr>
            <w:tcW w:type="dxa" w:w="3402"/>
          </w:tcPr>
          <w:p>
            <w:pPr>
              <w:spacing w:before="30" w:after="30" w:line="252" w:lineRule="auto"/>
            </w:pPr>
            <w:r/>
            <w:r>
              <w:rPr>
                <w:rFonts w:ascii="Segoe UI" w:hAnsi="Segoe UI" w:eastAsia="Segoe UI"/>
                <w:b w:val="0"/>
                <w:i w:val="0"/>
                <w:color w:val="1B2630"/>
                <w:sz w:val="15"/>
              </w:rPr>
              <w:t>Designate Instruments for My Events</w:t>
            </w:r>
          </w:p>
        </w:tc>
      </w:tr>
      <w:tr>
        <w:tc>
          <w:tcPr>
            <w:tcW w:type="dxa" w:w="680"/>
          </w:tcPr>
          <w:p>
            <w:pPr>
              <w:spacing w:before="30" w:after="30" w:line="252" w:lineRule="auto"/>
            </w:pPr>
            <w:r/>
            <w:r>
              <w:rPr>
                <w:rFonts w:ascii="Segoe UI" w:hAnsi="Segoe UI" w:eastAsia="Segoe UI"/>
                <w:b w:val="0"/>
                <w:i w:val="0"/>
                <w:color w:val="1B2630"/>
                <w:sz w:val="15"/>
              </w:rPr>
              <w:t>8</w:t>
            </w:r>
          </w:p>
        </w:tc>
        <w:tc>
          <w:tcPr>
            <w:tcW w:type="dxa" w:w="5783"/>
          </w:tcPr>
          <w:p>
            <w:pPr>
              <w:spacing w:before="30" w:after="30" w:line="252" w:lineRule="auto"/>
            </w:pPr>
            <w:r/>
            <w:r>
              <w:rPr>
                <w:rFonts w:ascii="Segoe UI" w:hAnsi="Segoe UI" w:eastAsia="Segoe UI"/>
                <w:b w:val="0"/>
                <w:i w:val="0"/>
                <w:color w:val="1B2630"/>
                <w:sz w:val="15"/>
              </w:rPr>
              <w:t>Data Access Groups per centrum aanmaken.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9</w:t>
            </w:r>
          </w:p>
        </w:tc>
        <w:tc>
          <w:tcPr>
            <w:tcW w:type="dxa" w:w="5783"/>
          </w:tcPr>
          <w:p>
            <w:pPr>
              <w:spacing w:before="30" w:after="30" w:line="252" w:lineRule="auto"/>
            </w:pPr>
            <w:r/>
            <w:r>
              <w:rPr>
                <w:rFonts w:ascii="Segoe UI" w:hAnsi="Segoe UI" w:eastAsia="Segoe UI"/>
                <w:b w:val="0"/>
                <w:i w:val="0"/>
                <w:color w:val="1B2630"/>
                <w:sz w:val="15"/>
              </w:rPr>
              <w:t>Gebruikersrechten instellen; alleen het studieteam krijgt invoerrechten.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5783"/>
          </w:tcPr>
          <w:p>
            <w:pPr>
              <w:spacing w:before="30" w:after="30" w:line="252" w:lineRule="auto"/>
            </w:pPr>
            <w:r/>
            <w:r>
              <w:rPr>
                <w:rFonts w:ascii="Segoe UI" w:hAnsi="Segoe UI" w:eastAsia="Segoe UI"/>
                <w:b w:val="0"/>
                <w:i w:val="0"/>
                <w:color w:val="1B2630"/>
                <w:sz w:val="15"/>
              </w:rPr>
              <w:t>De inhoudelijke velden per instrument bouwen, de markering telkens verwijderen.</w:t>
            </w:r>
          </w:p>
        </w:tc>
        <w:tc>
          <w:tcPr>
            <w:tcW w:type="dxa" w:w="3402"/>
          </w:tcPr>
          <w:p>
            <w:pPr>
              <w:spacing w:before="30" w:after="30" w:line="252" w:lineRule="auto"/>
            </w:pPr>
            <w:r/>
            <w:r>
              <w:rPr>
                <w:rFonts w:ascii="Segoe UI" w:hAnsi="Segoe UI" w:eastAsia="Segoe UI"/>
                <w:b w:val="0"/>
                <w:i w:val="0"/>
                <w:color w:val="1B2630"/>
                <w:sz w:val="15"/>
              </w:rPr>
              <w:t>Designer, of Data Dictionary upload</w:t>
            </w:r>
          </w:p>
        </w:tc>
      </w:tr>
      <w:tr>
        <w:tc>
          <w:tcPr>
            <w:tcW w:type="dxa" w:w="680"/>
          </w:tcPr>
          <w:p>
            <w:pPr>
              <w:spacing w:before="30" w:after="30" w:line="252" w:lineRule="auto"/>
            </w:pPr>
            <w:r/>
            <w:r>
              <w:rPr>
                <w:rFonts w:ascii="Segoe UI" w:hAnsi="Segoe UI" w:eastAsia="Segoe UI"/>
                <w:b w:val="0"/>
                <w:i w:val="0"/>
                <w:color w:val="1B2630"/>
                <w:sz w:val="15"/>
              </w:rPr>
              <w:t>11</w:t>
            </w:r>
          </w:p>
        </w:tc>
        <w:tc>
          <w:tcPr>
            <w:tcW w:type="dxa" w:w="5783"/>
          </w:tcPr>
          <w:p>
            <w:pPr>
              <w:spacing w:before="30" w:after="30" w:line="252" w:lineRule="auto"/>
            </w:pPr>
            <w:r/>
            <w:r>
              <w:rPr>
                <w:rFonts w:ascii="Segoe UI" w:hAnsi="Segoe UI" w:eastAsia="Segoe UI"/>
                <w:b w:val="0"/>
                <w:i w:val="0"/>
                <w:color w:val="1B2630"/>
                <w:sz w:val="15"/>
              </w:rPr>
              <w:t>Acceptatietest met een testdeelnemer per arm; branching en mapping nalopen.</w:t>
            </w:r>
          </w:p>
        </w:tc>
        <w:tc>
          <w:tcPr>
            <w:tcW w:type="dxa" w:w="3402"/>
          </w:tcPr>
          <w:p>
            <w:pPr>
              <w:spacing w:before="30" w:after="30" w:line="252" w:lineRule="auto"/>
            </w:pPr>
            <w:r/>
            <w:r>
              <w:rPr>
                <w:rFonts w:ascii="Segoe UI" w:hAnsi="Segoe UI" w:eastAsia="Segoe UI"/>
                <w:b w:val="0"/>
                <w:i w:val="0"/>
                <w:color w:val="1B2630"/>
                <w:sz w:val="15"/>
              </w:rPr>
              <w:t>Record Status Dashboard</w:t>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5783"/>
          </w:tcPr>
          <w:p>
            <w:pPr>
              <w:spacing w:before="30" w:after="30" w:line="252" w:lineRule="auto"/>
            </w:pPr>
            <w:r/>
            <w:r>
              <w:rPr>
                <w:rFonts w:ascii="Segoe UI" w:hAnsi="Segoe UI" w:eastAsia="Segoe UI"/>
                <w:b w:val="0"/>
                <w:i w:val="0"/>
                <w:color w:val="1B2630"/>
                <w:sz w:val="15"/>
              </w:rPr>
              <w:t>Alle testdata wissen, project naar productie, versie vastleggen.</w:t>
            </w:r>
          </w:p>
        </w:tc>
        <w:tc>
          <w:tcPr>
            <w:tcW w:type="dxa" w:w="3402"/>
          </w:tcPr>
          <w:p>
            <w:pPr>
              <w:spacing w:before="30" w:after="30" w:line="252" w:lineRule="auto"/>
            </w:pPr>
            <w:r/>
            <w:r>
              <w:rPr>
                <w:rFonts w:ascii="Segoe UI" w:hAnsi="Segoe UI" w:eastAsia="Segoe UI"/>
                <w:b w:val="0"/>
                <w:i w:val="0"/>
                <w:color w:val="1B2630"/>
                <w:sz w:val="15"/>
              </w:rPr>
              <w:t>Other Functionality, dan Project Setup</w:t>
            </w:r>
          </w:p>
        </w:tc>
      </w:tr>
    </w:tbl>
    <w:p>
      <w:pPr>
        <w:spacing w:before="0" w:after="80"/>
      </w:pPr>
      <w:r>
        <w:rPr>
          <w:rFonts w:ascii="Segoe UI" w:hAnsi="Segoe UI" w:eastAsia="Segoe UI"/>
          <w:b w:val="0"/>
          <w:i w:val="0"/>
          <w:color w:val="5A6A78"/>
          <w:sz w:val="17"/>
        </w:rPr>
        <w:t>Stap 1 tot 9 kun je vandaag doen; ze hangen niet aan de openstaande punten. Stap 10 is het grote werk en volgt pas als de drie punten hieronder beslecht zijn.</w:t>
      </w:r>
    </w:p>
    <w:p>
      <w:pPr>
        <w:spacing w:before="0" w:after="80"/>
      </w:pPr>
      <w:r>
        <w:rPr>
          <w:rFonts w:ascii="Segoe UI" w:hAnsi="Segoe UI" w:eastAsia="Segoe UI"/>
          <w:b w:val="0"/>
          <w:i w:val="0"/>
          <w:color w:val="5A6A78"/>
          <w:sz w:val="17"/>
        </w:rPr>
        <w:t>Wis de testrecords vóór je naar productie gaat. REDCap biedt dat aan bij het overzetten, maar een testrecord dat blijft staan, telt later mee in je PRISMA- en CONSORT-aantallen.</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Drie dingen die eerst beslist moeten worden</w:t>
      </w:r>
    </w:p>
    <w:p>
      <w:pPr>
        <w:spacing w:before="0" w:after="80"/>
      </w:pPr>
      <w:r>
        <w:rPr>
          <w:rFonts w:ascii="Segoe UI" w:hAnsi="Segoe UI" w:eastAsia="Segoe UI"/>
          <w:b w:val="0"/>
          <w:i w:val="0"/>
          <w:color w:val="1B2630"/>
          <w:sz w:val="19"/>
        </w:rPr>
        <w:t>Alle drie zitten ze in de structuur. Achteraf wijzigen kan wel, maar niet gratis: variabelenamen liggen dan vast en er zit data in.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Punt</w:t>
            </w:r>
          </w:p>
        </w:tc>
        <w:tc>
          <w:tcPr>
            <w:tcW w:type="dxa" w:w="368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85"/>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494"/>
          </w:tcPr>
          <w:p>
            <w:pPr>
              <w:spacing w:before="30" w:after="30" w:line="252" w:lineRule="auto"/>
            </w:pPr>
            <w:r/>
            <w:r>
              <w:rPr>
                <w:rFonts w:ascii="Segoe UI" w:hAnsi="Segoe UI" w:eastAsia="Segoe UI"/>
                <w:b w:val="0"/>
                <w:i w:val="0"/>
                <w:color w:val="1B2630"/>
                <w:sz w:val="15"/>
              </w:rPr>
              <w:t>Twee eCRF-sets met verschillende nummering — openstaand punt 6</w:t>
            </w:r>
          </w:p>
        </w:tc>
        <w:tc>
          <w:tcPr>
            <w:tcW w:type="dxa" w:w="3685"/>
          </w:tcPr>
          <w:p>
            <w:pPr>
              <w:spacing w:before="30" w:after="30" w:line="252" w:lineRule="auto"/>
            </w:pPr>
            <w:r/>
            <w:r>
              <w:rPr>
                <w:rFonts w:ascii="Segoe UI" w:hAnsi="Segoe UI" w:eastAsia="Segoe UI"/>
                <w:b w:val="0"/>
                <w:i w:val="0"/>
                <w:color w:val="1B2630"/>
                <w:sz w:val="15"/>
              </w:rPr>
              <w:t>De instrumentnamen en het hele variabelenschema hangen aan de nummering. Twee sets betekent twee onverenigbare schema’s.</w:t>
            </w:r>
          </w:p>
        </w:tc>
        <w:tc>
          <w:tcPr>
            <w:tcW w:type="dxa" w:w="3685"/>
          </w:tcPr>
          <w:p>
            <w:pPr>
              <w:spacing w:before="30" w:after="30" w:line="252" w:lineRule="auto"/>
            </w:pPr>
            <w:r/>
            <w:r>
              <w:rPr>
                <w:rFonts w:ascii="Segoe UI" w:hAnsi="Segoe UI" w:eastAsia="Segoe UI"/>
                <w:b w:val="0"/>
                <w:i w:val="0"/>
                <w:color w:val="1B2630"/>
                <w:sz w:val="15"/>
              </w:rPr>
              <w:t>Eén set officieel aanduiden. De skeletbestanden hier volgen de Nederlandse set 00–48 uit (e)CRF/Per nummer/.</w:t>
            </w:r>
          </w:p>
        </w:tc>
      </w:tr>
      <w:tr>
        <w:tc>
          <w:tcPr>
            <w:tcW w:type="dxa" w:w="2494"/>
          </w:tcPr>
          <w:p>
            <w:pPr>
              <w:spacing w:before="30" w:after="30" w:line="252" w:lineRule="auto"/>
            </w:pPr>
            <w:r/>
            <w:r>
              <w:rPr>
                <w:rFonts w:ascii="Segoe UI" w:hAnsi="Segoe UI" w:eastAsia="Segoe UI"/>
                <w:b w:val="0"/>
                <w:i w:val="0"/>
                <w:color w:val="1B2630"/>
                <w:sz w:val="15"/>
              </w:rPr>
              <w:t>eCRF 09 en 24 zijn achterhaald</w:t>
            </w:r>
          </w:p>
        </w:tc>
        <w:tc>
          <w:tcPr>
            <w:tcW w:type="dxa" w:w="3685"/>
          </w:tcPr>
          <w:p>
            <w:pPr>
              <w:spacing w:before="30" w:after="30" w:line="252" w:lineRule="auto"/>
            </w:pPr>
            <w:r/>
            <w:r>
              <w:rPr>
                <w:rFonts w:ascii="Segoe UI" w:hAnsi="Segoe UI" w:eastAsia="Segoe UI"/>
                <w:b w:val="0"/>
                <w:i w:val="0"/>
                <w:color w:val="1B2630"/>
                <w:sz w:val="15"/>
              </w:rPr>
              <w:t>De PI besliste op 11 september 2026 dat er niet blootsvoets gemeten wordt. eCRF 09 beschrijft nog een blootsvoetse baseline, eCRF 24 vraagt nog drie condities.</w:t>
            </w:r>
          </w:p>
        </w:tc>
        <w:tc>
          <w:tcPr>
            <w:tcW w:type="dxa" w:w="3685"/>
          </w:tcPr>
          <w:p>
            <w:pPr>
              <w:spacing w:before="30" w:after="30" w:line="252" w:lineRule="auto"/>
            </w:pPr>
            <w:r/>
            <w:r>
              <w:rPr>
                <w:rFonts w:ascii="Segoe UI" w:hAnsi="Segoe UI" w:eastAsia="Segoe UI"/>
                <w:b w:val="0"/>
                <w:i w:val="0"/>
                <w:color w:val="1B2630"/>
                <w:sz w:val="15"/>
              </w:rPr>
              <w:t>Beide formulieren bijwerken naar in-shoe, zónder en mét de CMFO in dezelfde sessie, vóór de velden in REDCap gebouwd worden.</w:t>
            </w:r>
          </w:p>
        </w:tc>
      </w:tr>
      <w:tr>
        <w:tc>
          <w:tcPr>
            <w:tcW w:type="dxa" w:w="2494"/>
          </w:tcPr>
          <w:p>
            <w:pPr>
              <w:spacing w:before="30" w:after="30" w:line="252" w:lineRule="auto"/>
            </w:pPr>
            <w:r/>
            <w:r>
              <w:rPr>
                <w:rFonts w:ascii="Segoe UI" w:hAnsi="Segoe UI" w:eastAsia="Segoe UI"/>
                <w:b w:val="0"/>
                <w:i w:val="0"/>
                <w:color w:val="1B2630"/>
                <w:sz w:val="15"/>
              </w:rPr>
              <w:t>eCRF 01 mist criteria — openstaand punt 2</w:t>
            </w:r>
          </w:p>
        </w:tc>
        <w:tc>
          <w:tcPr>
            <w:tcW w:type="dxa" w:w="3685"/>
          </w:tcPr>
          <w:p>
            <w:pPr>
              <w:spacing w:before="30" w:after="30" w:line="252" w:lineRule="auto"/>
            </w:pPr>
            <w:r/>
            <w:r>
              <w:rPr>
                <w:rFonts w:ascii="Segoe UI" w:hAnsi="Segoe UI" w:eastAsia="Segoe UI"/>
                <w:b w:val="0"/>
                <w:i w:val="0"/>
                <w:color w:val="1B2630"/>
                <w:sz w:val="15"/>
              </w:rPr>
              <w:t>PEDIS graad 3 en immunosuppressie ontbreken bij de exclusie, stabiele vaatstatus bij de inclusie. Bouw je het screeninginstrument hieruit, dan dwingt de databank de verkeerde geschiktheid af.</w:t>
            </w:r>
          </w:p>
        </w:tc>
        <w:tc>
          <w:tcPr>
            <w:tcW w:type="dxa" w:w="3685"/>
          </w:tcPr>
          <w:p>
            <w:pPr>
              <w:spacing w:before="30" w:after="30" w:line="252" w:lineRule="auto"/>
            </w:pPr>
            <w:r/>
            <w:r>
              <w:rPr>
                <w:rFonts w:ascii="Segoe UI" w:hAnsi="Segoe UI" w:eastAsia="Segoe UI"/>
                <w:b w:val="0"/>
                <w:i w:val="0"/>
                <w:color w:val="1B2630"/>
                <w:sz w:val="15"/>
              </w:rPr>
              <w:t>Aanvullen vóór de EC-indiening, en dus zeker vóór e01_screening gebouwd wordt.</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Het protocol zegt “aparte CRF’s per arm” maar benoemt niet welke. Ik heb de scheiding gelegd waar de interventie verschilt. Dat is een gevolgtrekking, geen vastgesteld feit, en ze staat in de mapping — dus corrigeer ze nu, niet later.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De terugkoppeling ís de interventie.</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de CTU-formulieren voor AE en SAE en voor device deficiency.</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De CTU-template moet nog op PARADISE gezet worden</w:t>
      </w:r>
    </w:p>
    <w:p>
      <w:pPr>
        <w:spacing w:before="0" w:after="80"/>
      </w:pPr>
      <w:r>
        <w:rPr>
          <w:rFonts w:ascii="Segoe UI" w:hAnsi="Segoe UI" w:eastAsia="Segoe UI"/>
          <w:b w:val="0"/>
          <w:i w:val="0"/>
          <w:color w:val="1B2630"/>
          <w:sz w:val="19"/>
        </w:rPr>
        <w:t>De tien formulieren uit de template zijn generiek en dragen placeholders. Wat hieronder staat moet weg vóór de eerste deelnemer, en het eerste punt zelfs vóór de import.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Wat</w:t>
            </w:r>
          </w:p>
        </w:tc>
        <w:tc>
          <w:tcPr>
            <w:tcW w:type="dxa" w:w="2381"/>
            <w:shd w:val="clear" w:color="auto" w:fill="1D8DB0"/>
          </w:tcPr>
          <w:p>
            <w:pPr>
              <w:spacing w:before="30" w:after="30" w:line="252" w:lineRule="auto"/>
            </w:pPr>
            <w:r/>
            <w:r>
              <w:rPr>
                <w:rFonts w:ascii="Segoe UI" w:hAnsi="Segoe UI" w:eastAsia="Segoe UI"/>
                <w:b/>
                <w:i w:val="0"/>
                <w:color w:val="FFFFFF"/>
                <w:sz w:val="15"/>
              </w:rPr>
              <w:t>Waar</w:t>
            </w:r>
          </w:p>
        </w:tc>
        <w:tc>
          <w:tcPr>
            <w:tcW w:type="dxa" w:w="4989"/>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494"/>
          </w:tcPr>
          <w:p>
            <w:pPr>
              <w:spacing w:before="30" w:after="30" w:line="252" w:lineRule="auto"/>
            </w:pPr>
            <w:r/>
            <w:r>
              <w:rPr>
                <w:rFonts w:ascii="Segoe UI" w:hAnsi="Segoe UI" w:eastAsia="Segoe UI"/>
                <w:b w:val="0"/>
                <w:i w:val="0"/>
                <w:color w:val="1B2630"/>
                <w:sz w:val="15"/>
              </w:rPr>
              <w:t>Vier variabelenamen waren 27 tekens</w:t>
            </w:r>
          </w:p>
        </w:tc>
        <w:tc>
          <w:tcPr>
            <w:tcW w:type="dxa" w:w="2381"/>
          </w:tcPr>
          <w:p>
            <w:pPr>
              <w:spacing w:before="30" w:after="30" w:line="252" w:lineRule="auto"/>
            </w:pPr>
            <w:r/>
            <w:r>
              <w:rPr>
                <w:rFonts w:ascii="Segoe UI" w:hAnsi="Segoe UI" w:eastAsia="Segoe UI"/>
                <w:b w:val="0"/>
                <w:i w:val="0"/>
                <w:color w:val="1B2630"/>
                <w:sz w:val="15"/>
              </w:rPr>
              <w:t>tweede AE/SAE-formulier</w:t>
            </w:r>
          </w:p>
        </w:tc>
        <w:tc>
          <w:tcPr>
            <w:tcW w:type="dxa" w:w="4989"/>
          </w:tcPr>
          <w:p>
            <w:pPr>
              <w:spacing w:before="30" w:after="30" w:line="252" w:lineRule="auto"/>
            </w:pPr>
            <w:r/>
            <w:r>
              <w:rPr>
                <w:rFonts w:ascii="Segoe UI" w:hAnsi="Segoe UI" w:eastAsia="Segoe UI"/>
                <w:b w:val="0"/>
                <w:i w:val="0"/>
                <w:color w:val="1B2630"/>
                <w:sz w:val="15"/>
              </w:rPr>
              <w:t>REDCap weigert namen boven 26 tekens bij de import. Het formulier is een kopie van het eerste met _v2 achter elke naam, en 39 namen eindigden daar al op — vandaar _v2_v2. Hersteld: het dubbele achtervoegsel werd _v2b. Ze werden nergens aangehaald, dus dit is veilig; controleer of je het zo wil houden.</w:t>
            </w:r>
          </w:p>
        </w:tc>
      </w:tr>
      <w:tr>
        <w:tc>
          <w:tcPr>
            <w:tcW w:type="dxa" w:w="2494"/>
          </w:tcPr>
          <w:p>
            <w:pPr>
              <w:spacing w:before="30" w:after="30" w:line="252" w:lineRule="auto"/>
            </w:pPr>
            <w:r/>
            <w:r>
              <w:rPr>
                <w:rFonts w:ascii="Segoe UI" w:hAnsi="Segoe UI" w:eastAsia="Segoe UI"/>
                <w:b w:val="0"/>
                <w:i w:val="0"/>
                <w:color w:val="1B2630"/>
                <w:sz w:val="15"/>
              </w:rPr>
              <w:t>Twee AE/SAE-formulieren van elk 55 velden</w:t>
            </w:r>
          </w:p>
        </w:tc>
        <w:tc>
          <w:tcPr>
            <w:tcW w:type="dxa" w:w="2381"/>
          </w:tcPr>
          <w:p>
            <w:pPr>
              <w:spacing w:before="30" w:after="30" w:line="252" w:lineRule="auto"/>
            </w:pPr>
            <w:r/>
            <w:r>
              <w:rPr>
                <w:rFonts w:ascii="Segoe UI" w:hAnsi="Segoe UI" w:eastAsia="Segoe UI"/>
                <w:b w:val="0"/>
                <w:i w:val="0"/>
                <w:color w:val="1B2630"/>
                <w:sz w:val="15"/>
              </w:rPr>
              <w:t>ae_sae_form_for_imd_study_device en ...celabel_2</w:t>
            </w:r>
          </w:p>
        </w:tc>
        <w:tc>
          <w:tcPr>
            <w:tcW w:type="dxa" w:w="4989"/>
          </w:tcPr>
          <w:p>
            <w:pPr>
              <w:spacing w:before="30" w:after="30" w:line="252" w:lineRule="auto"/>
            </w:pPr>
            <w:r/>
            <w:r>
              <w:rPr>
                <w:rFonts w:ascii="Segoe UI" w:hAnsi="Segoe UI" w:eastAsia="Segoe UI"/>
                <w:b w:val="0"/>
                <w:i w:val="0"/>
                <w:color w:val="1B2630"/>
                <w:sz w:val="15"/>
              </w:rPr>
              <w:t>De ene is voor een onderzoekshulpmiddel, de andere voor een CE-gemarkeerd hulpmiddel binnen zijn label. Er geldt er één. Kies welke en verwijder de andere — dat scheelt 55 velden en maakt het vorige punt meteen overbodig.</w:t>
            </w:r>
          </w:p>
        </w:tc>
      </w:tr>
      <w:tr>
        <w:tc>
          <w:tcPr>
            <w:tcW w:type="dxa" w:w="2494"/>
          </w:tcPr>
          <w:p>
            <w:pPr>
              <w:spacing w:before="30" w:after="30" w:line="252" w:lineRule="auto"/>
            </w:pPr>
            <w:r/>
            <w:r>
              <w:rPr>
                <w:rFonts w:ascii="Segoe UI" w:hAnsi="Segoe UI" w:eastAsia="Segoe UI"/>
                <w:b w:val="0"/>
                <w:i w:val="0"/>
                <w:color w:val="1B2630"/>
                <w:sz w:val="15"/>
              </w:rPr>
              <w:t>Tien versieplaceholders</w:t>
            </w:r>
          </w:p>
        </w:tc>
        <w:tc>
          <w:tcPr>
            <w:tcW w:type="dxa" w:w="2381"/>
          </w:tcPr>
          <w:p>
            <w:pPr>
              <w:spacing w:before="30" w:after="30" w:line="252" w:lineRule="auto"/>
            </w:pPr>
            <w:r/>
            <w:r>
              <w:rPr>
                <w:rFonts w:ascii="Segoe UI" w:hAnsi="Segoe UI" w:eastAsia="Segoe UI"/>
                <w:b w:val="0"/>
                <w:i w:val="0"/>
                <w:color w:val="1B2630"/>
                <w:sz w:val="15"/>
              </w:rPr>
              <w:t>elk formulier, veld *_version_*</w:t>
            </w:r>
          </w:p>
        </w:tc>
        <w:tc>
          <w:tcPr>
            <w:tcW w:type="dxa" w:w="4989"/>
          </w:tcPr>
          <w:p>
            <w:pPr>
              <w:spacing w:before="30" w:after="30" w:line="252" w:lineRule="auto"/>
            </w:pPr>
            <w:r/>
            <w:r>
              <w:rPr>
                <w:rFonts w:ascii="Segoe UI" w:hAnsi="Segoe UI" w:eastAsia="Segoe UI"/>
                <w:b w:val="0"/>
                <w:i w:val="0"/>
                <w:color w:val="1B2630"/>
                <w:sz w:val="15"/>
              </w:rPr>
              <w:t>Ze zeggen nu “eCRF version X.0 - Protocol version X.0”. Invullen met het echte eCRF- en protocolversienummer en de datum.</w:t>
            </w:r>
          </w:p>
        </w:tc>
      </w:tr>
      <w:tr>
        <w:tc>
          <w:tcPr>
            <w:tcW w:type="dxa" w:w="2494"/>
          </w:tcPr>
          <w:p>
            <w:pPr>
              <w:spacing w:before="30" w:after="30" w:line="252" w:lineRule="auto"/>
            </w:pPr>
            <w:r/>
            <w:r>
              <w:rPr>
                <w:rFonts w:ascii="Segoe UI" w:hAnsi="Segoe UI" w:eastAsia="Segoe UI"/>
                <w:b w:val="0"/>
                <w:i w:val="0"/>
                <w:color w:val="1B2630"/>
                <w:sz w:val="15"/>
              </w:rPr>
              <w:t>Vijf velden verwijzen naar events die niet bestaan</w:t>
            </w:r>
          </w:p>
        </w:tc>
        <w:tc>
          <w:tcPr>
            <w:tcW w:type="dxa" w:w="2381"/>
          </w:tcPr>
          <w:p>
            <w:pPr>
              <w:spacing w:before="30" w:after="30" w:line="252" w:lineRule="auto"/>
            </w:pPr>
            <w:r/>
            <w:r>
              <w:rPr>
                <w:rFonts w:ascii="Segoe UI" w:hAnsi="Segoe UI" w:eastAsia="Segoe UI"/>
                <w:b w:val="0"/>
                <w:i w:val="0"/>
                <w:color w:val="1B2630"/>
                <w:sz w:val="15"/>
              </w:rPr>
              <w:t>visit, de AE-formulieren, device_deficiency</w:t>
            </w:r>
          </w:p>
        </w:tc>
        <w:tc>
          <w:tcPr>
            <w:tcW w:type="dxa" w:w="4989"/>
          </w:tcPr>
          <w:p>
            <w:pPr>
              <w:spacing w:before="30" w:after="30" w:line="252" w:lineRule="auto"/>
            </w:pPr>
            <w:r/>
            <w:r>
              <w:rPr>
                <w:rFonts w:ascii="Segoe UI" w:hAnsi="Segoe UI" w:eastAsia="Segoe UI"/>
                <w:b w:val="0"/>
                <w:i w:val="0"/>
                <w:color w:val="1B2630"/>
                <w:sz w:val="15"/>
              </w:rPr>
              <w:t>De labels bevatten [adverse_event_arm_1] en [concomitant_medica_arm_1]. Geen van beide namen komt voor in dit project — het zijn resten van het project waar de template uit komt. Twee ervan verwijzen bovendien naar [form-link:adverse_events], en een formulier met die naam bestaat hier evenmin.</w:t>
            </w:r>
          </w:p>
        </w:tc>
      </w:tr>
      <w:tr>
        <w:tc>
          <w:tcPr>
            <w:tcW w:type="dxa" w:w="2494"/>
          </w:tcPr>
          <w:p>
            <w:pPr>
              <w:spacing w:before="30" w:after="30" w:line="252" w:lineRule="auto"/>
            </w:pPr>
            <w:r/>
            <w:r>
              <w:rPr>
                <w:rFonts w:ascii="Segoe UI" w:hAnsi="Segoe UI" w:eastAsia="Segoe UI"/>
                <w:b w:val="0"/>
                <w:i w:val="0"/>
                <w:color w:val="1B2630"/>
                <w:sz w:val="15"/>
              </w:rPr>
              <w:t>Twee labels tonen [ae_total], een variabele die nergens bestaat</w:t>
            </w:r>
          </w:p>
        </w:tc>
        <w:tc>
          <w:tcPr>
            <w:tcW w:type="dxa" w:w="2381"/>
          </w:tcPr>
          <w:p>
            <w:pPr>
              <w:spacing w:before="30" w:after="30" w:line="252" w:lineRule="auto"/>
            </w:pPr>
            <w:r/>
            <w:r>
              <w:rPr>
                <w:rFonts w:ascii="Segoe UI" w:hAnsi="Segoe UI" w:eastAsia="Segoe UI"/>
                <w:b w:val="0"/>
                <w:i w:val="0"/>
                <w:color w:val="1B2630"/>
                <w:sz w:val="15"/>
              </w:rPr>
              <w:t>ae_compl in visit, txt_link_ae in device_deficiency</w:t>
            </w:r>
          </w:p>
        </w:tc>
        <w:tc>
          <w:tcPr>
            <w:tcW w:type="dxa" w:w="4989"/>
          </w:tcPr>
          <w:p>
            <w:pPr>
              <w:spacing w:before="30" w:after="30" w:line="252" w:lineRule="auto"/>
            </w:pPr>
            <w:r/>
            <w:r>
              <w:rPr>
                <w:rFonts w:ascii="Segoe UI" w:hAnsi="Segoe UI" w:eastAsia="Segoe UI"/>
                <w:b w:val="0"/>
                <w:i w:val="0"/>
                <w:color w:val="1B2630"/>
                <w:sz w:val="15"/>
              </w:rPr>
              <w:t>Het formulier concomitant_therapy heeft wel zo’n teller, contx_total. De AE-formulieren hebben er geen. Ofwel een gelijkaardig calc-veld ae_total toevoegen aan het AE-formulier dat je behoudt, ofwel die zin uit beide labels halen. Nu toont REDCap er niets.</w:t>
            </w:r>
          </w:p>
        </w:tc>
      </w:tr>
      <w:tr>
        <w:tc>
          <w:tcPr>
            <w:tcW w:type="dxa" w:w="2494"/>
          </w:tcPr>
          <w:p>
            <w:pPr>
              <w:spacing w:before="30" w:after="30" w:line="252" w:lineRule="auto"/>
            </w:pPr>
            <w:r/>
            <w:r>
              <w:rPr>
                <w:rFonts w:ascii="Segoe UI" w:hAnsi="Segoe UI" w:eastAsia="Segoe UI"/>
                <w:b w:val="0"/>
                <w:i w:val="0"/>
                <w:color w:val="1B2630"/>
                <w:sz w:val="15"/>
              </w:rPr>
              <w:t>MedDRA-veld hangt aan een externe dienst</w:t>
            </w:r>
          </w:p>
        </w:tc>
        <w:tc>
          <w:tcPr>
            <w:tcW w:type="dxa" w:w="2381"/>
          </w:tcPr>
          <w:p>
            <w:pPr>
              <w:spacing w:before="30" w:after="30" w:line="252" w:lineRule="auto"/>
            </w:pPr>
            <w:r/>
            <w:r>
              <w:rPr>
                <w:rFonts w:ascii="Segoe UI" w:hAnsi="Segoe UI" w:eastAsia="Segoe UI"/>
                <w:b w:val="0"/>
                <w:i w:val="0"/>
                <w:color w:val="1B2630"/>
                <w:sz w:val="15"/>
              </w:rPr>
              <w:t>ae_medra in beide AE-formulieren</w:t>
            </w:r>
          </w:p>
        </w:tc>
        <w:tc>
          <w:tcPr>
            <w:tcW w:type="dxa" w:w="4989"/>
          </w:tcPr>
          <w:p>
            <w:pPr>
              <w:spacing w:before="30" w:after="30" w:line="252" w:lineRule="auto"/>
            </w:pPr>
            <w:r/>
            <w:r>
              <w:rPr>
                <w:rFonts w:ascii="Segoe UI" w:hAnsi="Segoe UI" w:eastAsia="Segoe UI"/>
                <w:b w:val="0"/>
                <w:i w:val="0"/>
                <w:color w:val="1B2630"/>
                <w:sz w:val="15"/>
              </w:rPr>
              <w:t>Het is een tekstveld met BIOPORTAL:MEDDRA als keuzebron — de ontologie-autoaanvulling van REDCap. Dat werkt alleen als je instantie BioPortal-integratie aan heeft én toegang tot MedDRA, dat gelicentieerd is. Test het; anders valt het stil terug op een gewoon tekstvak zonder dat iemand het merkt.</w:t>
            </w:r>
          </w:p>
        </w:tc>
      </w:tr>
      <w:tr>
        <w:tc>
          <w:tcPr>
            <w:tcW w:type="dxa" w:w="2494"/>
          </w:tcPr>
          <w:p>
            <w:pPr>
              <w:spacing w:before="30" w:after="30" w:line="252" w:lineRule="auto"/>
            </w:pPr>
            <w:r/>
            <w:r>
              <w:rPr>
                <w:rFonts w:ascii="Segoe UI" w:hAnsi="Segoe UI" w:eastAsia="Segoe UI"/>
                <w:b w:val="0"/>
                <w:i w:val="0"/>
                <w:color w:val="1B2630"/>
                <w:sz w:val="15"/>
              </w:rPr>
              <w:t>contx_total rekent met [last-instance]</w:t>
            </w:r>
          </w:p>
        </w:tc>
        <w:tc>
          <w:tcPr>
            <w:tcW w:type="dxa" w:w="2381"/>
          </w:tcPr>
          <w:p>
            <w:pPr>
              <w:spacing w:before="30" w:after="30" w:line="252" w:lineRule="auto"/>
            </w:pPr>
            <w:r/>
            <w:r>
              <w:rPr>
                <w:rFonts w:ascii="Segoe UI" w:hAnsi="Segoe UI" w:eastAsia="Segoe UI"/>
                <w:b w:val="0"/>
                <w:i w:val="0"/>
                <w:color w:val="1B2630"/>
                <w:sz w:val="15"/>
              </w:rPr>
              <w:t>concomitant_therapy</w:t>
            </w:r>
          </w:p>
        </w:tc>
        <w:tc>
          <w:tcPr>
            <w:tcW w:type="dxa" w:w="4989"/>
          </w:tcPr>
          <w:p>
            <w:pPr>
              <w:spacing w:before="30" w:after="30" w:line="252" w:lineRule="auto"/>
            </w:pPr>
            <w:r/>
            <w:r>
              <w:rPr>
                <w:rFonts w:ascii="Segoe UI" w:hAnsi="Segoe UI" w:eastAsia="Segoe UI"/>
                <w:b w:val="0"/>
                <w:i w:val="0"/>
                <w:color w:val="1B2630"/>
                <w:sz w:val="15"/>
              </w:rPr>
              <w:t>Die berekening werkt alleen als concomitant_therapy als herhalend instrument is ingesteld op de bezoek-events. Dat is dus geen optie maar een vereiste, en ze staat niet in de twaalf stappen omdat ze pas bij de import zichtbaar werd.</w:t>
            </w:r>
          </w:p>
        </w:tc>
      </w:tr>
      <w:tr>
        <w:tc>
          <w:tcPr>
            <w:tcW w:type="dxa" w:w="2494"/>
          </w:tcPr>
          <w:p>
            <w:pPr>
              <w:spacing w:before="30" w:after="30" w:line="252" w:lineRule="auto"/>
            </w:pPr>
            <w:r/>
            <w:r>
              <w:rPr>
                <w:rFonts w:ascii="Segoe UI" w:hAnsi="Segoe UI" w:eastAsia="Segoe UI"/>
                <w:b w:val="0"/>
                <w:i w:val="0"/>
                <w:color w:val="1B2630"/>
                <w:sz w:val="15"/>
              </w:rPr>
              <w:t>eligibility staat alleen op visite 0</w:t>
            </w:r>
          </w:p>
        </w:tc>
        <w:tc>
          <w:tcPr>
            <w:tcW w:type="dxa" w:w="2381"/>
          </w:tcPr>
          <w:p>
            <w:pPr>
              <w:spacing w:before="30" w:after="30" w:line="252" w:lineRule="auto"/>
            </w:pPr>
            <w:r/>
            <w:r>
              <w:rPr>
                <w:rFonts w:ascii="Segoe UI" w:hAnsi="Segoe UI" w:eastAsia="Segoe UI"/>
                <w:b w:val="0"/>
                <w:i w:val="0"/>
                <w:color w:val="1B2630"/>
                <w:sz w:val="15"/>
              </w:rPr>
              <w:t>mapping</w:t>
            </w:r>
          </w:p>
        </w:tc>
        <w:tc>
          <w:tcPr>
            <w:tcW w:type="dxa" w:w="4989"/>
          </w:tcPr>
          <w:p>
            <w:pPr>
              <w:spacing w:before="30" w:after="30" w:line="252" w:lineRule="auto"/>
            </w:pPr>
            <w:r/>
            <w:r>
              <w:rPr>
                <w:rFonts w:ascii="Segoe UI" w:hAnsi="Segoe UI" w:eastAsia="Segoe UI"/>
                <w:b w:val="0"/>
                <w:i w:val="0"/>
                <w:color w:val="1B2630"/>
                <w:sz w:val="15"/>
              </w:rPr>
              <w:t>Het formulier bevat de velden voor screenfalen (elcr_scrfailure, elcr_scrfailreason), maar screening gebeurt op het screening-event, vóór de toestemming. Overweeg eligibility ook op screening te zetten, anders leg je een screenfalen vast op een bezoek dat de deelnemer nooit gehad heeft.</w:t>
            </w:r>
          </w:p>
        </w:tc>
      </w:tr>
      <w:tr>
        <w:tc>
          <w:tcPr>
            <w:tcW w:type="dxa" w:w="2494"/>
          </w:tcPr>
          <w:p>
            <w:pPr>
              <w:spacing w:before="30" w:after="30" w:line="252" w:lineRule="auto"/>
            </w:pPr>
            <w:r/>
            <w:r>
              <w:rPr>
                <w:rFonts w:ascii="Segoe UI" w:hAnsi="Segoe UI" w:eastAsia="Segoe UI"/>
                <w:b w:val="0"/>
                <w:i w:val="0"/>
                <w:color w:val="1B2630"/>
                <w:sz w:val="15"/>
              </w:rPr>
              <w:t>Een vaste eventlink werkt maar voor één arm</w:t>
            </w:r>
          </w:p>
        </w:tc>
        <w:tc>
          <w:tcPr>
            <w:tcW w:type="dxa" w:w="2381"/>
          </w:tcPr>
          <w:p>
            <w:pPr>
              <w:spacing w:before="30" w:after="30" w:line="252" w:lineRule="auto"/>
            </w:pPr>
            <w:r/>
            <w:r>
              <w:rPr>
                <w:rFonts w:ascii="Segoe UI" w:hAnsi="Segoe UI" w:eastAsia="Segoe UI"/>
                <w:b w:val="0"/>
                <w:i w:val="0"/>
                <w:color w:val="1B2630"/>
                <w:sz w:val="15"/>
              </w:rPr>
              <w:t>idem</w:t>
            </w:r>
          </w:p>
        </w:tc>
        <w:tc>
          <w:tcPr>
            <w:tcW w:type="dxa" w:w="4989"/>
          </w:tcPr>
          <w:p>
            <w:pPr>
              <w:spacing w:before="30" w:after="30" w:line="252" w:lineRule="auto"/>
            </w:pPr>
            <w:r/>
            <w:r>
              <w:rPr>
                <w:rFonts w:ascii="Segoe UI" w:hAnsi="Segoe UI" w:eastAsia="Segoe UI"/>
                <w:b w:val="0"/>
                <w:i w:val="0"/>
                <w:color w:val="1B2630"/>
                <w:sz w:val="15"/>
              </w:rPr>
              <w:t>Met twee armen wijst [ae_sae_arm_1] de deelnemers uit arm 2 naar de verkeerde plaats. Ofwel twee beschrijvende velden met branching op de arm, ofwel geen link en de instructie in gewone tekst.</w:t>
            </w:r>
          </w:p>
        </w:tc>
      </w:tr>
      <w:tr>
        <w:tc>
          <w:tcPr>
            <w:tcW w:type="dxa" w:w="2494"/>
          </w:tcPr>
          <w:p>
            <w:pPr>
              <w:spacing w:before="30" w:after="30" w:line="252" w:lineRule="auto"/>
            </w:pPr>
            <w:r/>
            <w:r>
              <w:rPr>
                <w:rFonts w:ascii="Segoe UI" w:hAnsi="Segoe UI" w:eastAsia="Segoe UI"/>
                <w:b w:val="0"/>
                <w:i w:val="0"/>
                <w:color w:val="1B2630"/>
                <w:sz w:val="15"/>
              </w:rPr>
              <w:t>randomization bevat geen toewijzingsveld</w:t>
            </w:r>
          </w:p>
        </w:tc>
        <w:tc>
          <w:tcPr>
            <w:tcW w:type="dxa" w:w="2381"/>
          </w:tcPr>
          <w:p>
            <w:pPr>
              <w:spacing w:before="30" w:after="30" w:line="252" w:lineRule="auto"/>
            </w:pPr>
            <w:r/>
            <w:r>
              <w:rPr>
                <w:rFonts w:ascii="Segoe UI" w:hAnsi="Segoe UI" w:eastAsia="Segoe UI"/>
                <w:b w:val="0"/>
                <w:i w:val="0"/>
                <w:color w:val="1B2630"/>
                <w:sz w:val="15"/>
              </w:rPr>
              <w:t>randomization</w:t>
            </w:r>
          </w:p>
        </w:tc>
        <w:tc>
          <w:tcPr>
            <w:tcW w:type="dxa" w:w="4989"/>
          </w:tcPr>
          <w:p>
            <w:pPr>
              <w:spacing w:before="30" w:after="30" w:line="252" w:lineRule="auto"/>
            </w:pPr>
            <w:r/>
            <w:r>
              <w:rPr>
                <w:rFonts w:ascii="Segoe UI" w:hAnsi="Segoe UI" w:eastAsia="Segoe UI"/>
                <w:b w:val="0"/>
                <w:i w:val="0"/>
                <w:color w:val="1B2630"/>
                <w:sz w:val="15"/>
              </w:rPr>
              <w:t>Vijf velden, alle vijf beschrijvend, bedoeld om een e-mailwaarschuwing te sturen. PARADISE randomiseert met genummerde verzegelde enveloppen die de PI opent. Er moet minstens een veld komen voor het envelopnummer, de toegewezen arm en de datum.</w:t>
            </w:r>
          </w:p>
        </w:tc>
      </w:tr>
      <w:tr>
        <w:tc>
          <w:tcPr>
            <w:tcW w:type="dxa" w:w="2494"/>
          </w:tcPr>
          <w:p>
            <w:pPr>
              <w:spacing w:before="30" w:after="30" w:line="252" w:lineRule="auto"/>
            </w:pPr>
            <w:r/>
            <w:r>
              <w:rPr>
                <w:rFonts w:ascii="Segoe UI" w:hAnsi="Segoe UI" w:eastAsia="Segoe UI"/>
                <w:b w:val="0"/>
                <w:i w:val="0"/>
                <w:color w:val="1B2630"/>
                <w:sz w:val="15"/>
              </w:rPr>
              <w:t>demo_sex draagt een instructie in het label</w:t>
            </w:r>
          </w:p>
        </w:tc>
        <w:tc>
          <w:tcPr>
            <w:tcW w:type="dxa" w:w="2381"/>
          </w:tcPr>
          <w:p>
            <w:pPr>
              <w:spacing w:before="30" w:after="30" w:line="252" w:lineRule="auto"/>
            </w:pPr>
            <w:r/>
            <w:r>
              <w:rPr>
                <w:rFonts w:ascii="Segoe UI" w:hAnsi="Segoe UI" w:eastAsia="Segoe UI"/>
                <w:b w:val="0"/>
                <w:i w:val="0"/>
                <w:color w:val="1B2630"/>
                <w:sz w:val="15"/>
              </w:rPr>
              <w:t>demographics</w:t>
            </w:r>
          </w:p>
        </w:tc>
        <w:tc>
          <w:tcPr>
            <w:tcW w:type="dxa" w:w="4989"/>
          </w:tcPr>
          <w:p>
            <w:pPr>
              <w:spacing w:before="30" w:after="30" w:line="252" w:lineRule="auto"/>
            </w:pPr>
            <w:r/>
            <w:r>
              <w:rPr>
                <w:rFonts w:ascii="Segoe UI" w:hAnsi="Segoe UI" w:eastAsia="Segoe UI"/>
                <w:b w:val="0"/>
                <w:i w:val="0"/>
                <w:color w:val="1B2630"/>
                <w:sz w:val="15"/>
              </w:rPr>
              <w:t>Het label eindigt op “REMOVE DATA FIELD IF NO ADDED VALUE”. Geslacht staat in de Core Descriptor Set, dus waarschijnlijk behouden — maar haal die zin uit het label.</w:t>
            </w:r>
          </w:p>
        </w:tc>
      </w:tr>
      <w:tr>
        <w:tc>
          <w:tcPr>
            <w:tcW w:type="dxa" w:w="2494"/>
          </w:tcPr>
          <w:p>
            <w:pPr>
              <w:spacing w:before="30" w:after="30" w:line="252" w:lineRule="auto"/>
            </w:pPr>
            <w:r/>
            <w:r>
              <w:rPr>
                <w:rFonts w:ascii="Segoe UI" w:hAnsi="Segoe UI" w:eastAsia="Segoe UI"/>
                <w:b w:val="0"/>
                <w:i w:val="0"/>
                <w:color w:val="1B2630"/>
                <w:sz w:val="15"/>
              </w:rPr>
              <w:t>elcr_inclusion is ingevuld, maar eCRF 01 wijkt af</w:t>
            </w:r>
          </w:p>
        </w:tc>
        <w:tc>
          <w:tcPr>
            <w:tcW w:type="dxa" w:w="2381"/>
          </w:tcPr>
          <w:p>
            <w:pPr>
              <w:spacing w:before="30" w:after="30" w:line="252" w:lineRule="auto"/>
            </w:pPr>
            <w:r/>
            <w:r>
              <w:rPr>
                <w:rFonts w:ascii="Segoe UI" w:hAnsi="Segoe UI" w:eastAsia="Segoe UI"/>
                <w:b w:val="0"/>
                <w:i w:val="0"/>
                <w:color w:val="1B2630"/>
                <w:sz w:val="15"/>
              </w:rPr>
              <w:t>eligibility</w:t>
            </w:r>
          </w:p>
        </w:tc>
        <w:tc>
          <w:tcPr>
            <w:tcW w:type="dxa" w:w="4989"/>
          </w:tcPr>
          <w:p>
            <w:pPr>
              <w:spacing w:before="30" w:after="30" w:line="252" w:lineRule="auto"/>
            </w:pPr>
            <w:r/>
            <w:r>
              <w:rPr>
                <w:rFonts w:ascii="Segoe UI" w:hAnsi="Segoe UI" w:eastAsia="Segoe UI"/>
                <w:b w:val="0"/>
                <w:i w:val="0"/>
                <w:color w:val="1B2630"/>
                <w:sz w:val="15"/>
              </w:rPr>
              <w:t>Ik heb de keuzelijst gevuld met de zes inclusie- en negen exclusiecriteria uit §3 van PARADISE_BRONNEN.md. eCRF 01 noemt er zeven en mist E3, E5 en de inclusie-eis I4 — openstaand punt 2. Beide moeten gelijk komen vóór de EC-indiening.</w:t>
            </w:r>
          </w:p>
        </w:tc>
      </w:tr>
    </w:tbl>
    <w:p>
      <w:pPr>
        <w:spacing w:before="0" w:after="80"/>
      </w:pPr>
      <w:r>
        <w:rPr>
          <w:rFonts w:ascii="Segoe UI" w:hAnsi="Segoe UI" w:eastAsia="Segoe UI"/>
          <w:b w:val="0"/>
          <w:i w:val="0"/>
          <w:color w:val="5A6A78"/>
          <w:sz w:val="17"/>
        </w:rPr>
        <w:t>Wat de template al wél dekt en waarvoor dus geen eigen instrument meer nodig is: de toestemming en de geschiktheidstoets (eligibility), leeftijd en geslacht (demographics), de groepstoewijzing (randomization), de bijkomende therapie, het generieke bezoekformulier, de AE- en SAE-rapportage, het formulier voor hulpmiddeldefecten, het logboek voor protocolafwijkingen en serious breaches, en het einde van de studie. Die negen vervangen eCRF 02, 06 en 46 uit mijn eerdere skelet.</w:t>
      </w:r>
    </w:p>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41 instrumenten, 30 events, 208 mappingregels, 324 velden in de dictionary, geen variabelenaam boven 26 tekens.</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