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1. SPIRIT 2025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Chan A-W, Boutron I, Hopewell S, Moher D, Schulz KF, Collins GS, et al. SPIRIT 2025 statement: updated guideline for protocols of randomised trials. BMJ. 2025;389:e081477.</w:t>
      </w:r>
    </w:p>
    <w:tbl>
      <w:tblPr>
        <w:tblW w:type="auto" w:w="0"/>
        <w:jc w:val="center"/>
        <w:tblLook w:firstColumn="1" w:firstRow="1" w:lastColumn="0" w:lastRow="0" w:noHBand="0" w:noVBand="1" w:val="04A0"/>
      </w:tblPr>
      <w:tblGrid>
        <w:gridCol w:w="2550"/>
        <w:gridCol w:w="2550"/>
        <w:gridCol w:w="2550"/>
        <w:gridCol w:w="2550"/>
      </w:tblGrid>
      <w:tr>
        <w:tc>
          <w:tcPr>
            <w:tcW w:type="dxa" w:w="2041"/>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Section / topic</w:t>
            </w:r>
          </w:p>
        </w:tc>
        <w:tc>
          <w:tcPr>
            <w:tcW w:type="dxa" w:w="737"/>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4195"/>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SPIRIT 2025 checklist item</w:t>
            </w:r>
          </w:p>
        </w:tc>
        <w:tc>
          <w:tcPr>
            <w:tcW w:type="dxa" w:w="311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Administrative information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Title and structured summary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Title stating the trial design, population, and interventions, with identification as a protocol</w:t>
            </w:r>
          </w:p>
        </w:tc>
        <w:tc>
          <w:tcPr>
            <w:tcW w:type="dxa" w:w="3118"/>
            <w:tcBorders>
              <w:top w:val="single" w:sz="4" w:color="C8D3DE"/>
              <w:left w:val="single" w:sz="4" w:color="C8D3DE"/>
              <w:bottom w:val="single" w:sz="4" w:color="C8D3DE"/>
              <w:right w:val="single" w:sz="4" w:color="C8D3DE"/>
            </w:tcBorders>
          </w:tcPr>
          <w:p>
            <w:pPr>
              <w:spacing w:before="40" w:after="40"/>
            </w:pPr>
            <w:r>
              <w:t>Title page (p. 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Structured summary of trial design and methods, including items from the World Health Organization Trial Registration Data Set</w:t>
            </w:r>
          </w:p>
        </w:tc>
        <w:tc>
          <w:tcPr>
            <w:tcW w:type="dxa" w:w="3118"/>
            <w:tcBorders>
              <w:top w:val="single" w:sz="4" w:color="C8D3DE"/>
              <w:left w:val="single" w:sz="4" w:color="C8D3DE"/>
              <w:bottom w:val="single" w:sz="4" w:color="C8D3DE"/>
              <w:right w:val="single" w:sz="4" w:color="C8D3DE"/>
            </w:tcBorders>
          </w:tcPr>
          <w:p>
            <w:pPr>
              <w:spacing w:before="40" w:after="40"/>
            </w:pPr>
            <w:r>
              <w:t>Abstract (p. 2); the WHO Trial Registration Data Set is held in the trial registry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version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Version date and identifier</w:t>
            </w:r>
          </w:p>
        </w:tc>
        <w:tc>
          <w:tcPr>
            <w:tcW w:type="dxa" w:w="3118"/>
            <w:tcBorders>
              <w:top w:val="single" w:sz="4" w:color="C8D3DE"/>
              <w:left w:val="single" w:sz="4" w:color="C8D3DE"/>
              <w:bottom w:val="single" w:sz="4" w:color="C8D3DE"/>
              <w:right w:val="single" w:sz="4" w:color="C8D3DE"/>
            </w:tcBorders>
          </w:tcPr>
          <w:p>
            <w:pPr>
              <w:spacing w:before="40" w:after="40"/>
            </w:pPr>
            <w:r>
              <w:t>Study design, setting and dates (p. 6) — protocol version 1.0, 17 May 2026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Roles and responsibilities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Names, affiliations, and roles of protocol contributors</w:t>
            </w:r>
          </w:p>
        </w:tc>
        <w:tc>
          <w:tcPr>
            <w:tcW w:type="dxa" w:w="3118"/>
            <w:tcBorders>
              <w:top w:val="single" w:sz="4" w:color="C8D3DE"/>
              <w:left w:val="single" w:sz="4" w:color="C8D3DE"/>
              <w:bottom w:val="single" w:sz="4" w:color="C8D3DE"/>
              <w:right w:val="single" w:sz="4" w:color="C8D3DE"/>
            </w:tcBorders>
          </w:tcPr>
          <w:p>
            <w:pPr>
              <w:spacing w:before="40" w:after="40"/>
            </w:pPr>
            <w:r>
              <w:t>Title page (p. 1); Contributors (p. 17)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and contact information for the trial sponsor</w:t>
            </w:r>
          </w:p>
        </w:tc>
        <w:tc>
          <w:tcPr>
            <w:tcW w:type="dxa" w:w="3118"/>
            <w:tcBorders>
              <w:top w:val="single" w:sz="4" w:color="C8D3DE"/>
              <w:left w:val="single" w:sz="4" w:color="C8D3DE"/>
              <w:bottom w:val="single" w:sz="4" w:color="C8D3DE"/>
              <w:right w:val="single" w:sz="4" w:color="C8D3DE"/>
            </w:tcBorders>
          </w:tcPr>
          <w:p>
            <w:pPr>
              <w:spacing w:before="40" w:after="40"/>
            </w:pPr>
            <w:r>
              <w:t>Funding (p. 17) — sponsor name and address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Role of trial sponsor and funders in design, conduct, analysis, and reporting of trial; including any authority over these activities</w:t>
            </w:r>
          </w:p>
        </w:tc>
        <w:tc>
          <w:tcPr>
            <w:tcW w:type="dxa" w:w="3118"/>
            <w:tcBorders>
              <w:top w:val="single" w:sz="4" w:color="C8D3DE"/>
              <w:left w:val="single" w:sz="4" w:color="C8D3DE"/>
              <w:bottom w:val="single" w:sz="4" w:color="C8D3DE"/>
              <w:right w:val="single" w:sz="4" w:color="C8D3DE"/>
            </w:tcBorders>
          </w:tcPr>
          <w:p>
            <w:pPr>
              <w:spacing w:before="40" w:after="40"/>
            </w:pPr>
            <w:r>
              <w:t>Funding (p. 17)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roles, and responsibilities of the coordinating site, steering committee, endpoint adjudication committee, data management team, and other individuals or groups overseeing the trial, if applicable</w:t>
            </w:r>
          </w:p>
        </w:tc>
        <w:tc>
          <w:tcPr>
            <w:tcW w:type="dxa" w:w="3118"/>
            <w:tcBorders>
              <w:top w:val="single" w:sz="4" w:color="C8D3DE"/>
              <w:left w:val="single" w:sz="4" w:color="C8D3DE"/>
              <w:bottom w:val="single" w:sz="4" w:color="C8D3DE"/>
              <w:right w:val="single" w:sz="4" w:color="C8D3DE"/>
            </w:tcBorders>
          </w:tcPr>
          <w:p>
            <w:pPr>
              <w:spacing w:before="40" w:after="40"/>
            </w:pPr>
            <w:r>
              <w:t>Data management, monitoring and safety (p. 16) — steering group; safety review</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Open science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registration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of trial registry, identifying number (with URL), and date of registration. If not yet registered, name of intended registry</w:t>
            </w:r>
          </w:p>
        </w:tc>
        <w:tc>
          <w:tcPr>
            <w:tcW w:type="dxa" w:w="3118"/>
            <w:tcBorders>
              <w:top w:val="single" w:sz="4" w:color="C8D3DE"/>
              <w:left w:val="single" w:sz="4" w:color="C8D3DE"/>
              <w:bottom w:val="single" w:sz="4" w:color="C8D3DE"/>
              <w:right w:val="single" w:sz="4" w:color="C8D3DE"/>
            </w:tcBorders>
          </w:tcPr>
          <w:p>
            <w:pPr>
              <w:spacing w:before="40" w:after="40"/>
            </w:pPr>
            <w:r>
              <w:t>Abstract (p. 2) — Trial registration number (to be completed)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and statistical analysis plan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the trial protocol and statistical analysis plan can be accessed</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 — statistical analysis plan deposited before database lock</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sharing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and how the individual de-identified participant data (including data dictionary), statistical code, and any other materials will be accessible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18)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Funding and conflicts of interest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Sources of funding and other support (eg, supply of drugs)</w:t>
            </w:r>
          </w:p>
        </w:tc>
        <w:tc>
          <w:tcPr>
            <w:tcW w:type="dxa" w:w="3118"/>
            <w:tcBorders>
              <w:top w:val="single" w:sz="4" w:color="C8D3DE"/>
              <w:left w:val="single" w:sz="4" w:color="C8D3DE"/>
              <w:bottom w:val="single" w:sz="4" w:color="C8D3DE"/>
              <w:right w:val="single" w:sz="4" w:color="C8D3DE"/>
            </w:tcBorders>
          </w:tcPr>
          <w:p>
            <w:pPr>
              <w:spacing w:before="40" w:after="40"/>
            </w:pPr>
            <w:r>
              <w:t>Funding (p. 17)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Financial and other conflicts of interest for principal investigators and steering committee members</w:t>
            </w:r>
          </w:p>
        </w:tc>
        <w:tc>
          <w:tcPr>
            <w:tcW w:type="dxa" w:w="3118"/>
            <w:tcBorders>
              <w:top w:val="single" w:sz="4" w:color="C8D3DE"/>
              <w:left w:val="single" w:sz="4" w:color="C8D3DE"/>
              <w:bottom w:val="single" w:sz="4" w:color="C8D3DE"/>
              <w:right w:val="single" w:sz="4" w:color="C8D3DE"/>
            </w:tcBorders>
          </w:tcPr>
          <w:p>
            <w:pPr>
              <w:spacing w:before="40" w:after="40"/>
            </w:pPr>
            <w:r>
              <w:t>Competing interests (p. 17)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Dissemination policy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communicate trial results to participants, healthcare professionals, the public, and other relevant groups (eg, reporting in trial registry, plain language summary, publication)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Background and rationale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Scientific background and rationale, including summary of relevant studies (published and unpublished) examining benefits and harms for each intervention</w:t>
            </w:r>
          </w:p>
        </w:tc>
        <w:tc>
          <w:tcPr>
            <w:tcW w:type="dxa" w:w="3118"/>
            <w:tcBorders>
              <w:top w:val="single" w:sz="4" w:color="C8D3DE"/>
              <w:left w:val="single" w:sz="4" w:color="C8D3DE"/>
              <w:bottom w:val="single" w:sz="4" w:color="C8D3DE"/>
              <w:right w:val="single" w:sz="4" w:color="C8D3DE"/>
            </w:tcBorders>
          </w:tcPr>
          <w:p>
            <w:pPr>
              <w:spacing w:before="40" w:after="40"/>
            </w:pPr>
            <w:r>
              <w:t>Introduction (p.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for choice of comparator</w:t>
            </w:r>
          </w:p>
        </w:tc>
        <w:tc>
          <w:tcPr>
            <w:tcW w:type="dxa" w:w="3118"/>
            <w:tcBorders>
              <w:top w:val="single" w:sz="4" w:color="C8D3DE"/>
              <w:left w:val="single" w:sz="4" w:color="C8D3DE"/>
              <w:bottom w:val="single" w:sz="4" w:color="C8D3DE"/>
              <w:right w:val="single" w:sz="4" w:color="C8D3DE"/>
            </w:tcBorders>
          </w:tcPr>
          <w:p>
            <w:pPr>
              <w:spacing w:before="40" w:after="40"/>
            </w:pPr>
            <w:r>
              <w:t>Usual care (p. 9); Blinding (p. 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Objectives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Specific objectives related to benefits and harms</w:t>
            </w:r>
          </w:p>
        </w:tc>
        <w:tc>
          <w:tcPr>
            <w:tcW w:type="dxa" w:w="3118"/>
            <w:tcBorders>
              <w:top w:val="single" w:sz="4" w:color="C8D3DE"/>
              <w:left w:val="single" w:sz="4" w:color="C8D3DE"/>
              <w:bottom w:val="single" w:sz="4" w:color="C8D3DE"/>
              <w:right w:val="single" w:sz="4" w:color="C8D3DE"/>
            </w:tcBorders>
          </w:tcPr>
          <w:p>
            <w:pPr>
              <w:spacing w:before="40" w:after="40"/>
            </w:pPr>
            <w:r>
              <w:t>Objectives (p. 6)</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Patient and public involvement, trial design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Patient and public involvement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Details of, or plans for, patient or public involvement in the design, conduct, and reporting of the trial</w:t>
            </w:r>
          </w:p>
        </w:tc>
        <w:tc>
          <w:tcPr>
            <w:tcW w:type="dxa" w:w="3118"/>
            <w:tcBorders>
              <w:top w:val="single" w:sz="4" w:color="C8D3DE"/>
              <w:left w:val="single" w:sz="4" w:color="C8D3DE"/>
              <w:bottom w:val="single" w:sz="4" w:color="C8D3DE"/>
              <w:right w:val="single" w:sz="4" w:color="C8D3DE"/>
            </w:tcBorders>
          </w:tcPr>
          <w:p>
            <w:pPr>
              <w:spacing w:before="40" w:after="40"/>
            </w:pPr>
            <w:r>
              <w:t>Patient and public involvement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design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Description of trial design including type of trial (eg, parallel group, crossover), allocation ratio, and framework (eg, superiority, equivalence, non-inferiority, exploratory)</w:t>
            </w:r>
          </w:p>
        </w:tc>
        <w:tc>
          <w:tcPr>
            <w:tcW w:type="dxa" w:w="3118"/>
            <w:tcBorders>
              <w:top w:val="single" w:sz="4" w:color="C8D3DE"/>
              <w:left w:val="single" w:sz="4" w:color="C8D3DE"/>
              <w:bottom w:val="single" w:sz="4" w:color="C8D3DE"/>
              <w:right w:val="single" w:sz="4" w:color="C8D3DE"/>
            </w:tcBorders>
          </w:tcPr>
          <w:p>
            <w:pPr>
              <w:spacing w:before="40" w:after="40"/>
            </w:pPr>
            <w:r>
              <w:t>Study design, setting and dates (p. 6)</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Participants, interventions, and outcomes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setting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Settings (eg, community, hospital) and locations (eg, countries, sites) where the trial will be conducted</w:t>
            </w:r>
          </w:p>
        </w:tc>
        <w:tc>
          <w:tcPr>
            <w:tcW w:type="dxa" w:w="3118"/>
            <w:tcBorders>
              <w:top w:val="single" w:sz="4" w:color="C8D3DE"/>
              <w:left w:val="single" w:sz="4" w:color="C8D3DE"/>
              <w:bottom w:val="single" w:sz="4" w:color="C8D3DE"/>
              <w:right w:val="single" w:sz="4" w:color="C8D3DE"/>
            </w:tcBorders>
          </w:tcPr>
          <w:p>
            <w:pPr>
              <w:spacing w:before="40" w:after="40"/>
            </w:pPr>
            <w:r>
              <w:t>Study design, setting and dates (p. 6); online supplemental file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Eligibility criteria</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Eligibility criteria for participants</w:t>
            </w:r>
          </w:p>
        </w:tc>
        <w:tc>
          <w:tcPr>
            <w:tcW w:type="dxa" w:w="3118"/>
            <w:tcBorders>
              <w:top w:val="single" w:sz="4" w:color="C8D3DE"/>
              <w:left w:val="single" w:sz="4" w:color="C8D3DE"/>
              <w:bottom w:val="single" w:sz="4" w:color="C8D3DE"/>
              <w:right w:val="single" w:sz="4" w:color="C8D3DE"/>
            </w:tcBorders>
          </w:tcPr>
          <w:p>
            <w:pPr>
              <w:spacing w:before="40" w:after="40"/>
            </w:pPr>
            <w:r>
              <w:t>Inclusion criteria (p. 7); Exclusion criteria (p.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applicable, eligibility criteria for sites and for individuals who will deliver the interventions (eg, surgeons, physiotherapists)</w:t>
            </w:r>
          </w:p>
        </w:tc>
        <w:tc>
          <w:tcPr>
            <w:tcW w:type="dxa" w:w="3118"/>
            <w:tcBorders>
              <w:top w:val="single" w:sz="4" w:color="C8D3DE"/>
              <w:left w:val="single" w:sz="4" w:color="C8D3DE"/>
              <w:bottom w:val="single" w:sz="4" w:color="C8D3DE"/>
              <w:right w:val="single" w:sz="4" w:color="C8D3DE"/>
            </w:tcBorders>
          </w:tcPr>
          <w:p>
            <w:pPr>
              <w:spacing w:before="40" w:after="40"/>
            </w:pPr>
            <w:r>
              <w:t>Study design, setting and dates (p. 6); Training, tailoring and fidelity (p. 11)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Intervention and comparator</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Intervention and comparator with sufficient details to allow replication including how, when, and by whom they will be administered. If relevant, where additional materials describing the intervention and comparator (eg, intervention manual) can be accessed</w:t>
            </w:r>
          </w:p>
        </w:tc>
        <w:tc>
          <w:tcPr>
            <w:tcW w:type="dxa" w:w="3118"/>
            <w:tcBorders>
              <w:top w:val="single" w:sz="4" w:color="C8D3DE"/>
              <w:left w:val="single" w:sz="4" w:color="C8D3DE"/>
              <w:bottom w:val="single" w:sz="4" w:color="C8D3DE"/>
              <w:right w:val="single" w:sz="4" w:color="C8D3DE"/>
            </w:tcBorders>
          </w:tcPr>
          <w:p>
            <w:pPr>
              <w:spacing w:before="40" w:after="40"/>
            </w:pPr>
            <w:r>
              <w:t>Usual care (p. 9); Pressure-guided footwear optimisation (p. 10); Adherence monitoring and wear-time target (p. 10); Structured education and behavioural support (SEBIA) (p. 10); table 2; figure 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Criteria for discontinuing or modifying allocated intervention/comparator for a trial participant (eg, drug dose change in response to harms, participant request, or improving/worsening disease)</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11); Participant timeline and data collection (p. 12)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to improve adherence to intervention/comparator protocols, if applicable, and any procedures for monitoring adherence (eg, drug tablet return, sessions attended)</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11); Process evaluation (p. 15)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Concomitant care that is permitted or prohibited during the trial</w:t>
            </w:r>
          </w:p>
        </w:tc>
        <w:tc>
          <w:tcPr>
            <w:tcW w:type="dxa" w:w="3118"/>
            <w:tcBorders>
              <w:top w:val="single" w:sz="4" w:color="C8D3DE"/>
              <w:left w:val="single" w:sz="4" w:color="C8D3DE"/>
              <w:bottom w:val="single" w:sz="4" w:color="C8D3DE"/>
              <w:right w:val="single" w:sz="4" w:color="C8D3DE"/>
            </w:tcBorders>
          </w:tcPr>
          <w:p>
            <w:pPr>
              <w:spacing w:before="40" w:after="40"/>
            </w:pPr>
            <w:r>
              <w:t>Concomitant care (p. 11)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Outcomes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Primary and secondary outcomes, including the specific measurement variable (eg, systolic blood pressure), analysis metric (eg, change from baseline, final value, time to event), method of aggregation (eg, median, proportion), and time point for each outcome</w:t>
            </w:r>
          </w:p>
        </w:tc>
        <w:tc>
          <w:tcPr>
            <w:tcW w:type="dxa" w:w="3118"/>
            <w:tcBorders>
              <w:top w:val="single" w:sz="4" w:color="C8D3DE"/>
              <w:left w:val="single" w:sz="4" w:color="C8D3DE"/>
              <w:bottom w:val="single" w:sz="4" w:color="C8D3DE"/>
              <w:right w:val="single" w:sz="4" w:color="C8D3DE"/>
            </w:tcBorders>
          </w:tcPr>
          <w:p>
            <w:pPr>
              <w:spacing w:before="40" w:after="40"/>
            </w:pPr>
            <w:r>
              <w:t>Primary outcome (p. 11); Mediator (p. 12); Secondary outcomes (p. 12); Exploratory outcome (p. 12); Process outcomes (p. 12);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Harms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17</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harms are defined and will be assessed (eg, systematically, non-systematically)</w:t>
            </w:r>
          </w:p>
        </w:tc>
        <w:tc>
          <w:tcPr>
            <w:tcW w:type="dxa" w:w="3118"/>
            <w:tcBorders>
              <w:top w:val="single" w:sz="4" w:color="C8D3DE"/>
              <w:left w:val="single" w:sz="4" w:color="C8D3DE"/>
              <w:bottom w:val="single" w:sz="4" w:color="C8D3DE"/>
              <w:right w:val="single" w:sz="4" w:color="C8D3DE"/>
            </w:tcBorders>
          </w:tcPr>
          <w:p>
            <w:pPr>
              <w:spacing w:before="40" w:after="40"/>
            </w:pPr>
            <w:r>
              <w:t>Data management, monitoring and safety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Participant timeline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Time schedule of enrolment, interventions (including any run-ins and washouts), assessments, and visits for participants. A schematic diagram is highly recommended (see fig 1 )</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and data collection (p. 12); table 1; figure 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Sample size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sample size was determined, including all assumptions supporting the sample size calculation</w:t>
            </w:r>
          </w:p>
        </w:tc>
        <w:tc>
          <w:tcPr>
            <w:tcW w:type="dxa" w:w="3118"/>
            <w:tcBorders>
              <w:top w:val="single" w:sz="4" w:color="C8D3DE"/>
              <w:left w:val="single" w:sz="4" w:color="C8D3DE"/>
              <w:bottom w:val="single" w:sz="4" w:color="C8D3DE"/>
              <w:right w:val="single" w:sz="4" w:color="C8D3DE"/>
            </w:tcBorders>
          </w:tcPr>
          <w:p>
            <w:pPr>
              <w:spacing w:before="40" w:after="40"/>
            </w:pPr>
            <w:r>
              <w:t>Sample size (p. 13); online supplemental file 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Recruitment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for achieving adequate participant enrolment to reach target sample size</w:t>
            </w:r>
          </w:p>
        </w:tc>
        <w:tc>
          <w:tcPr>
            <w:tcW w:type="dxa" w:w="3118"/>
            <w:tcBorders>
              <w:top w:val="single" w:sz="4" w:color="C8D3DE"/>
              <w:left w:val="single" w:sz="4" w:color="C8D3DE"/>
              <w:bottom w:val="single" w:sz="4" w:color="C8D3DE"/>
              <w:right w:val="single" w:sz="4" w:color="C8D3DE"/>
            </w:tcBorders>
          </w:tcPr>
          <w:p>
            <w:pPr>
              <w:spacing w:before="40" w:after="40"/>
            </w:pPr>
            <w:r>
              <w:t>Recruitment (p. 7)</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Assignment of interventions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Randomisation: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Sequence generation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generate the random allocation sequence and the method used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Type of randomisation (simple or restricted) and details of any factors for stratification. To reduce predictability of a random sequence, other details of any planned restriction (eg, blocking) should be provided in a separate document that is unavailable to those who enrol participants or assign interventions</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7) — stratified by centre, no blocks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Allocation concealment mechanism</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Mechanism used to implement the random allocation sequence (eg, central computer/telephone; sequentially numbered, opaque, sealed containers), describing any steps to conceal the sequence until interventions are assigned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7) — sequentially numbered opaque sealed envelopes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Implementation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Whether the personnel who will enrol and those who will assign participants to the interventions will have access to the random allocation sequence</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Blinding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be blinded after assignment to interventions (eg, participants, care providers, outcome assessors, data analysts)</w:t>
            </w:r>
          </w:p>
        </w:tc>
        <w:tc>
          <w:tcPr>
            <w:tcW w:type="dxa" w:w="3118"/>
            <w:tcBorders>
              <w:top w:val="single" w:sz="4" w:color="C8D3DE"/>
              <w:left w:val="single" w:sz="4" w:color="C8D3DE"/>
              <w:bottom w:val="single" w:sz="4" w:color="C8D3DE"/>
              <w:right w:val="single" w:sz="4" w:color="C8D3DE"/>
            </w:tcBorders>
          </w:tcPr>
          <w:p>
            <w:pPr>
              <w:spacing w:before="40" w:after="40"/>
            </w:pPr>
            <w:r>
              <w:t>Blinding (p. 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how blinding will be achieved and description of the similarity of interventions</w:t>
            </w:r>
          </w:p>
        </w:tc>
        <w:tc>
          <w:tcPr>
            <w:tcW w:type="dxa" w:w="3118"/>
            <w:tcBorders>
              <w:top w:val="single" w:sz="4" w:color="C8D3DE"/>
              <w:left w:val="single" w:sz="4" w:color="C8D3DE"/>
              <w:bottom w:val="single" w:sz="4" w:color="C8D3DE"/>
              <w:right w:val="single" w:sz="4" w:color="C8D3DE"/>
            </w:tcBorders>
          </w:tcPr>
          <w:p>
            <w:pPr>
              <w:spacing w:before="40" w:after="40"/>
            </w:pPr>
            <w:r>
              <w:t>Blinding (p. 8) — pressure values hidden in usual care (50 kPa display threshold, values off)</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circumstances under which unblinding is permissible, and procedure for revealing a participant’s allocated intervention during the trial</w:t>
            </w:r>
          </w:p>
        </w:tc>
        <w:tc>
          <w:tcPr>
            <w:tcW w:type="dxa" w:w="3118"/>
            <w:tcBorders>
              <w:top w:val="single" w:sz="4" w:color="C8D3DE"/>
              <w:left w:val="single" w:sz="4" w:color="C8D3DE"/>
              <w:bottom w:val="single" w:sz="4" w:color="C8D3DE"/>
              <w:right w:val="single" w:sz="4" w:color="C8D3DE"/>
            </w:tcBorders>
          </w:tcPr>
          <w:p>
            <w:pPr>
              <w:spacing w:before="40" w:after="40"/>
            </w:pPr>
            <w:r>
              <w:t>Not applicable: open-label trial; clinical findings are always reported to the treating clinician, Blinding (p. 8)</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Data collection, management, and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collection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assessment and collection of trial data, including any related processes to promote data quality (eg, duplicate measurements, training of assessors) and a description of trial instruments (eg, questionnaires, laboratory tests) along with their reliability and validity, if known. Reference to where data collection forms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and data collection (p. 12);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promote participant retention and complete follow-up, including list of any outcome data to be collected for participants who discontinue or deviate from intervention protocols</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and data collection (p. 12) — visits aligned with routine review, reminders, travel costs, continued follow-up after stopping the intervention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management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data entry, coding, security, and storage, including any related processes to promote data quality (eg, double data entry; range checks for data values). Reference to where details of data management procedures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and data collection (p. 12); Data management, monitoring and safety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Statistical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Statistical methods used to compare groups for primary and secondary outcomes, including harms</w:t>
            </w:r>
          </w:p>
        </w:tc>
        <w:tc>
          <w:tcPr>
            <w:tcW w:type="dxa" w:w="3118"/>
            <w:tcBorders>
              <w:top w:val="single" w:sz="4" w:color="C8D3DE"/>
              <w:left w:val="single" w:sz="4" w:color="C8D3DE"/>
              <w:bottom w:val="single" w:sz="4" w:color="C8D3DE"/>
              <w:right w:val="single" w:sz="4" w:color="C8D3DE"/>
            </w:tcBorders>
          </w:tcPr>
          <w:p>
            <w:pPr>
              <w:spacing w:before="40" w:after="40"/>
            </w:pPr>
            <w:r>
              <w:t>Primary analysis (p. 14); Adherence and mediation (p. 14); Secondary and subgroup analyses (p. 14)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Definition of who will be included in each analysis (eg, all randomised participants), and in which group</w:t>
            </w:r>
          </w:p>
        </w:tc>
        <w:tc>
          <w:tcPr>
            <w:tcW w:type="dxa" w:w="3118"/>
            <w:tcBorders>
              <w:top w:val="single" w:sz="4" w:color="C8D3DE"/>
              <w:left w:val="single" w:sz="4" w:color="C8D3DE"/>
              <w:bottom w:val="single" w:sz="4" w:color="C8D3DE"/>
              <w:right w:val="single" w:sz="4" w:color="C8D3DE"/>
            </w:tcBorders>
          </w:tcPr>
          <w:p>
            <w:pPr>
              <w:spacing w:before="40" w:after="40"/>
            </w:pPr>
            <w:r>
              <w:t>Statistical analysis (p. 13)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missing data will be handled in the analysis</w:t>
            </w:r>
          </w:p>
        </w:tc>
        <w:tc>
          <w:tcPr>
            <w:tcW w:type="dxa" w:w="3118"/>
            <w:tcBorders>
              <w:top w:val="single" w:sz="4" w:color="C8D3DE"/>
              <w:left w:val="single" w:sz="4" w:color="C8D3DE"/>
              <w:bottom w:val="single" w:sz="4" w:color="C8D3DE"/>
              <w:right w:val="single" w:sz="4" w:color="C8D3DE"/>
            </w:tcBorders>
          </w:tcPr>
          <w:p>
            <w:pPr>
              <w:spacing w:before="40" w:after="40"/>
            </w:pPr>
            <w:r>
              <w:t>Missing data (p. 15)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Methods for any additional analyses (eg, subgroup and sensitivity analyses)</w:t>
            </w:r>
          </w:p>
        </w:tc>
        <w:tc>
          <w:tcPr>
            <w:tcW w:type="dxa" w:w="3118"/>
            <w:tcBorders>
              <w:top w:val="single" w:sz="4" w:color="C8D3DE"/>
              <w:left w:val="single" w:sz="4" w:color="C8D3DE"/>
              <w:bottom w:val="single" w:sz="4" w:color="C8D3DE"/>
              <w:right w:val="single" w:sz="4" w:color="C8D3DE"/>
            </w:tcBorders>
          </w:tcPr>
          <w:p>
            <w:pPr>
              <w:spacing w:before="40" w:after="40"/>
            </w:pPr>
            <w:r>
              <w:t>Estimands (p. 13); Secondary and subgroup analyses (p. 14); Exploratory analysis (p. 14)</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Monitoring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monitoring committee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of data monitoring committee (DMC); summary of its role and reporting structure; statement of whether it is independent from the sponsor and funder; conflicts of interest and reference to where further details about its charter can be found, if not in the protocol. Alternatively, an explanation of why a DMC is not needed</w:t>
            </w:r>
          </w:p>
        </w:tc>
        <w:tc>
          <w:tcPr>
            <w:tcW w:type="dxa" w:w="3118"/>
            <w:tcBorders>
              <w:top w:val="single" w:sz="4" w:color="C8D3DE"/>
              <w:left w:val="single" w:sz="4" w:color="C8D3DE"/>
              <w:bottom w:val="single" w:sz="4" w:color="C8D3DE"/>
              <w:right w:val="single" w:sz="4" w:color="C8D3DE"/>
            </w:tcBorders>
          </w:tcPr>
          <w:p>
            <w:pPr>
              <w:spacing w:before="40" w:after="40"/>
            </w:pPr>
            <w:r>
              <w:t>Data management, monitoring and safety (p. 16) — no independent data monitoring committee, with rationale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of any interim analyses and stopping guidelines, including who will have access to these interim results and make the final decision to terminate the trial</w:t>
            </w:r>
          </w:p>
        </w:tc>
        <w:tc>
          <w:tcPr>
            <w:tcW w:type="dxa" w:w="3118"/>
            <w:tcBorders>
              <w:top w:val="single" w:sz="4" w:color="C8D3DE"/>
              <w:left w:val="single" w:sz="4" w:color="C8D3DE"/>
              <w:bottom w:val="single" w:sz="4" w:color="C8D3DE"/>
              <w:right w:val="single" w:sz="4" w:color="C8D3DE"/>
            </w:tcBorders>
          </w:tcPr>
          <w:p>
            <w:pPr>
              <w:spacing w:before="40" w:after="40"/>
            </w:pPr>
            <w:r>
              <w:t>Data management, monitoring and safety (p. 16) — no interim efficacy analysis; six-monthly safety review rule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monitoring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Frequency and procedures for monitoring trial conduct. If there is no monitoring, give explanation</w:t>
            </w:r>
          </w:p>
        </w:tc>
        <w:tc>
          <w:tcPr>
            <w:tcW w:type="dxa" w:w="3118"/>
            <w:tcBorders>
              <w:top w:val="single" w:sz="4" w:color="C8D3DE"/>
              <w:left w:val="single" w:sz="4" w:color="C8D3DE"/>
              <w:bottom w:val="single" w:sz="4" w:color="C8D3DE"/>
              <w:right w:val="single" w:sz="4" w:color="C8D3DE"/>
            </w:tcBorders>
          </w:tcPr>
          <w:p>
            <w:pPr>
              <w:spacing w:before="40" w:after="40"/>
            </w:pPr>
            <w:r>
              <w:t>Data management, monitoring and safety (p. 16)</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Research ethics approval</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seeking research ethics committee/institutional review board approval</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 Ethics approval (p. 18)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amendments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communicating important protocol modifications to relevant parties</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Consent or assent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obtain informed consent or assent from potential trial participants or authorised proxies, and how</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 online supplemental file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Additional consent provisions for collection and use of participant data and biological specimens in ancillary studies, if applicable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18)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Confidentiality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personal information about potential and enrolled participants will be collected, shared, and maintained in order to protect confidentiality before, during, and after the trial</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and data collection (p. 12); Data management, monitoring and safety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Ancillary and post-trial care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Provisions, if any, for ancillary and post-trial care, and for compensation to those who suffer harm from trial participation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16) — no-fault insurance; participants keep their orthoses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