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KU Leuven, Department of Rehabilitation Sciences</w:t>
      </w:r>
    </w:p>
    <w:p>
      <w:r>
        <w:t>Spoorwegstraat 12, 8200 Bruges, Belgium</w:t>
      </w:r>
    </w:p>
    <w:p>
      <w:r>
        <w:t>janou.debuyser@kuleuven.be</w:t>
      </w:r>
    </w:p>
    <w:p/>
    <w:p>
      <w:r>
        <w:t>▮ (date)</w:t>
      </w:r>
    </w:p>
    <w:p/>
    <w:p>
      <w:r>
        <w:t>The Editor, BMJ Open</w:t>
      </w:r>
    </w:p>
    <w:p/>
    <w:p>
      <w:r>
        <w:t>Dear Editor,</w:t>
      </w:r>
    </w:p>
    <w:p>
      <w:r>
        <w:t>Please consider the enclosed manuscript, "Integrating offloading, adherence monitoring and behaviour change to prevent diabetic foot ulcer recurrence: protocol for the PARADISE multicentre randomised controlled trial", for publication as a protocol in BMJ Open.</w:t>
      </w:r>
    </w:p>
    <w:p>
      <w:r>
        <w:t>Around 40% of people with diabetes have a recurrent foot ulcer within a year of healing. Pressure-optimised footwear has reduced recurrence only among patients who wear it, and education alone has not prevented it. PARADISE tests, in six Belgian diabetic foot clinics, whether integrating pressure-guided offloading, objective adherence monitoring and structured behavioural support reduces recurrence over 18 months when delivered by the clinics' own teams. Footwear adherence, measured by a sensor in the orthosis, is the pre-specified mediator, and a cost-utility analysis and a process evaluation are embedded.</w:t>
      </w:r>
    </w:p>
    <w:p>
      <w:r>
        <w:t>Planned study dates: recruitment is expected to start in February 2027, after a go/no-go decision on 23 February 2027, and to last 12 months; follow-up of the last participant is expected to end in August 2029. Recruitment has not started and no data have been collected.</w:t>
      </w:r>
    </w:p>
    <w:p>
      <w:r>
        <w:t>The trial is registered at ClinicalTrials.gov (▮) and was approved by the Ethics Committee of University Hospitals Leuven (S71769, ▮ date). It is funded by the Research Foundation – Flanders (FWO, T000226N). The protocol follows SPIRIT 2025; the completed SPIRIT and TIDieR checklists are provided as online supplemental files.</w:t>
      </w:r>
    </w:p>
    <w:p>
      <w:r>
        <w:t>The manuscript has not been published or submitted elsewhere. All authors have approved the submission and declare no competing interests.</w:t>
      </w:r>
    </w:p>
    <w:p>
      <w:r>
        <w:t>Yours sincerely,</w:t>
      </w:r>
    </w:p>
    <w:p>
      <w:r>
        <w:t>Janou De Buyser, on behalf of all authors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