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rPr>
          <w:lang w:val="en-GB"/>
        </w:rPr>
      </w:pPr>
      <w:r>
        <w:rPr>
          <w:color w:val="000000"/>
          <w:lang w:val="en-GB"/>
        </w:rPr>
        <w:t xml:space="preserve">Integrating offloading, adherence monitoring and behaviour change to prevent diabetic foot ulcer recurrence: protocol for the PARADISE multicentre randomised controlled trial</w:t>
      </w:r>
    </w:p>
    <w:p>
      <w:pPr>
        <w:rPr>
          <w:lang w:val="en-GB"/>
        </w:rPr>
      </w:pPr>
      <w:r>
        <w:rPr>
          <w:color w:val="000000"/>
          <w:lang w:val="en-GB"/>
        </w:rPr>
        <w:t xml:space="preserve">Janou De Buyser¹, Fabienne Dobbels², Maaike Fobelets³, Koen Putman³, Kevin Deschamps¹</w:t>
      </w:r>
    </w:p>
    <w:p>
      <w:pPr>
        <w:rPr>
          <w:lang w:val="en-GB"/>
        </w:rPr>
      </w:pPr>
      <w:r>
        <w:rPr>
          <w:color w:val="000000"/>
          <w:lang w:val="en-GB"/>
        </w:rPr>
        <w:t xml:space="preserve">¹ Department of Rehabilitation Sciences, Musculoskeletal Research Group, KU Leuven, Bruges Campus, Bruges, Belgium</w:t>
      </w:r>
    </w:p>
    <w:p>
      <w:pPr>
        <w:rPr>
          <w:lang w:val="en-GB"/>
        </w:rPr>
      </w:pPr>
      <w:r>
        <w:rPr>
          <w:color w:val="000000"/>
          <w:lang w:val="en-GB"/>
        </w:rPr>
        <w:t xml:space="preserve">² Academic Centre for Nursing and Midwifery, Department of Public Health and Primary Care, KU Leuven, Leuven, Belgium</w:t>
      </w:r>
    </w:p>
    <w:p>
      <w:pPr>
        <w:rPr>
          <w:lang w:val="en-GB"/>
        </w:rPr>
      </w:pPr>
      <w:r>
        <w:rPr>
          <w:color w:val="000000"/>
          <w:lang w:val="en-GB"/>
        </w:rPr>
        <w:t xml:space="preserve">³ Faculty of Medicine and Pharmacy, Vrije Universiteit Brussel (VUB), Brussels, Belgium</w:t>
      </w:r>
    </w:p>
    <w:p>
      <w:pPr>
        <w:rPr>
          <w:lang w:val="en-GB"/>
        </w:rPr>
      </w:pPr>
      <w:r>
        <w:rPr>
          <w:color w:val="000000"/>
          <w:lang w:val="en-GB"/>
        </w:rPr>
        <w:t xml:space="preserve">Correspondence to Janou De Buyser, Department of Rehabilitation Sciences, KU Leuven, Bruges Campus, Spoorwegstraat 12, 8200 Bruges, Belgium; janou.debuyser@kuleuven.be</w:t>
      </w:r>
    </w:p>
    <w:p>
      <w:pPr>
        <w:rPr>
          <w:lang w:val="en-GB"/>
        </w:rPr>
      </w:pPr>
      <w:r>
        <w:rPr>
          <w:color w:val="000000"/>
          <w:lang w:val="en-GB"/>
        </w:rPr>
        <w:t xml:space="preserve">Word count: 5100</w:t>
      </w:r>
    </w:p>
    <w:p>
      <w:pPr>
        <w:rPr>
          <w:lang w:val="en-GB"/>
        </w:rPr>
      </w:pPr>
      <w:r>
        <w:rPr>
          <w:color w:val="000000"/>
          <w:lang w:val="en-GB"/>
        </w:rPr>
        <w:t xml:space="preserve">Keywords: diabetic foot; foot ulcer; recurrence; offloading; plantar pressure; footwear adherence; behaviour change; randomised controlled trial</w:t>
      </w:r>
    </w:p>
    <w:p>
      <w:pPr>
        <w:pStyle w:val="Kop1"/>
        <w:pageBreakBefore/>
        <w:rPr>
          <w:lang w:val="en-GB"/>
        </w:rPr>
      </w:pPr>
      <w:r>
        <w:rPr>
          <w:color w:val="000000"/>
          <w:lang w:val="en-GB"/>
        </w:rPr>
        <w:t xml:space="preserve">Abstract</w:t>
      </w:r>
    </w:p>
    <w:p>
      <w:pPr>
        <w:rPr>
          <w:lang w:val="en-GB"/>
        </w:rPr>
      </w:pPr>
      <w:r>
        <w:rPr>
          <w:b/>
          <w:bCs/>
          <w:color w:val="000000"/>
          <w:lang w:val="en-GB"/>
        </w:rPr>
        <w:t xml:space="preserve">Introduction</w:t>
      </w:r>
      <w:r>
        <w:rPr>
          <w:color w:val="000000"/>
          <w:lang w:val="en-GB"/>
        </w:rPr>
        <w:t xml:space="preserve"> Around 40% of people with diabetes have a recurrent foot ulcer within a year of healing. Pressure-optimised footwear has reduced recurrence only among patients who wear it, and education alone has not prevented it. PARADISE (Pressure-Adherence-Education Driven Service) integrates pressure-guided offloading, objective adherence monitoring and structured behavioural support within routine diabetic foot clinics. This trial tests whether PARADISE, added to usual care, reduces recurrence.</w:t>
      </w:r>
    </w:p>
    <w:p>
      <w:pPr>
        <w:rPr>
          <w:lang w:val="en-GB"/>
        </w:rPr>
      </w:pPr>
      <w:r>
        <w:rPr>
          <w:b/>
          <w:bCs/>
          <w:color w:val="000000"/>
          <w:lang w:val="en-GB"/>
        </w:rPr>
        <w:t xml:space="preserve">Methods and analysis</w:t>
      </w:r>
      <w:r>
        <w:rPr>
          <w:color w:val="000000"/>
          <w:lang w:val="en-GB"/>
        </w:rPr>
        <w:t xml:space="preserve"> Multicentre, parallel-group, open-label, superiority randomised controlled trial in six Belgian diabetic foot clinics (three academic, three non-academic). A total of 144 adults with diabetes and a foot at International Working Group on the Diabetic Foot risk category 3 will be randomised 1:1, stratified by centre, to usual care or usual care plus PARADISE. Custom-made foot orthoses are modified under in-shoe pressure feedback until peak pressure at each target region is below 200 kPa or at least 25% lower than without the orthosis, and a five-step education and behavioural programme based on the COM-B model uses sensor-recorded wear time to structure counselling. The primary outcome is time to first ulcer recurrence over 18 months, analysed by Cox regression stratified by centre. Footwear adherence, recorded by a temperature sensor in the orthosis and expressed against each participant's waking time, is the pre-specified mediator. A cost-utility analysis, a mixed-methods process evaluation and an exploratory analysis of cumulative plantar tissue stress are embedded.</w:t>
      </w:r>
    </w:p>
    <w:p>
      <w:pPr>
        <w:rPr>
          <w:lang w:val="en-GB"/>
        </w:rPr>
      </w:pPr>
      <w:r>
        <w:rPr>
          <w:b/>
          <w:bCs/>
          <w:color w:val="000000"/>
          <w:lang w:val="en-GB"/>
        </w:rPr>
        <w:t xml:space="preserve">Ethics and dissemination</w:t>
      </w:r>
      <w:r>
        <w:rPr>
          <w:color w:val="000000"/>
          <w:lang w:val="en-GB"/>
        </w:rPr>
        <w:t xml:space="preserve"> The trial, a clinical investigation of a medical device, is submitted to the Ethics Committee of University Hospitals Leuven (central committee), the local ethics committees and the Belgian Federal Agency for Medicines and Health Products. Results will be published regardless of their direction, presented to the Belgian network of diabetic foot clinics and summarised in plain language for participants and patient organisations.</w:t>
      </w:r>
    </w:p>
    <w:p>
      <w:pPr>
        <w:rPr>
          <w:lang w:val="en-GB"/>
        </w:rPr>
      </w:pPr>
      <w:r>
        <w:rPr>
          <w:b/>
          <w:bCs/>
          <w:color w:val="000000"/>
          <w:lang w:val="en-GB"/>
        </w:rPr>
        <w:t xml:space="preserve">Trial registration number</w:t>
      </w:r>
      <w:r>
        <w:rPr>
          <w:color w:val="000000"/>
          <w:lang w:val="en-GB"/>
        </w:rPr>
        <w:t xml:space="preserve"> </w:t>
      </w:r>
      <w:commentRangeStart w:id="0"/>
      <w:r>
        <w:rPr>
          <w:color w:val="000000"/>
          <w:lang w:val="en-GB"/>
        </w:rPr>
        <w:t xml:space="preserve">ClinicalTrials.gov ▮</w:t>
      </w:r>
      <w:commentRangeEnd w:id="0"/>
      <w:r>
        <w:rPr>
          <w:rStyle w:val="Verwijzingopmerking"/>
        </w:rPr>
        <w:commentReference w:id="0"/>
      </w:r>
      <w:r>
        <w:rPr>
          <w:color w:val="000000"/>
          <w:lang w:val="en-GB"/>
        </w:rPr>
        <w:t xml:space="preserve">.</w:t>
      </w:r>
    </w:p>
    <w:p>
      <w:pPr>
        <w:pStyle w:val="Kop1"/>
        <w:rPr>
          <w:lang w:val="en-GB"/>
        </w:rPr>
      </w:pPr>
      <w:r>
        <w:rPr>
          <w:color w:val="000000"/>
          <w:lang w:val="en-GB"/>
        </w:rPr>
        <w:t xml:space="preserve">Strengths and limitations of this study</w:t>
      </w:r>
    </w:p>
    <w:p>
      <w:pPr>
        <w:ind w:left="360" w:hanging="360"/>
        <w:rPr>
          <w:lang w:val="en-GB"/>
        </w:rPr>
      </w:pPr>
      <w:r>
        <w:rPr>
          <w:color w:val="000000"/>
          <w:lang w:val="en-GB"/>
        </w:rPr>
        <w:t xml:space="preserve">•	</w:t>
      </w:r>
      <w:r>
        <w:rPr>
          <w:color w:val="000000"/>
          <w:lang w:val="en-GB"/>
        </w:rPr>
        <w:t xml:space="preserve">Randomisation within three academic and three non-academic diabetic foot clinics, with the intervention delivered by their own clinical staff, tests the service under the conditions in which it would be implemented.</w:t>
      </w:r>
    </w:p>
    <w:p>
      <w:pPr>
        <w:ind w:left="360" w:hanging="360"/>
        <w:rPr>
          <w:lang w:val="en-GB"/>
        </w:rPr>
      </w:pPr>
      <w:r>
        <w:rPr>
          <w:color w:val="000000"/>
          <w:lang w:val="en-GB"/>
        </w:rPr>
        <w:t xml:space="preserve">•	</w:t>
      </w:r>
      <w:r>
        <w:rPr>
          <w:color w:val="000000"/>
          <w:lang w:val="en-GB"/>
        </w:rPr>
        <w:t xml:space="preserve">Footwear adherence is recorded continuously by a temperature sensor in the orthosis and expressed against each participant's waking time, so it can be analysed as the pre-specified mediator rather than inferred from self-report.</w:t>
      </w:r>
    </w:p>
    <w:p>
      <w:pPr>
        <w:ind w:left="360" w:hanging="360"/>
        <w:rPr>
          <w:lang w:val="en-GB"/>
        </w:rPr>
      </w:pPr>
      <w:r>
        <w:rPr>
          <w:color w:val="000000"/>
          <w:lang w:val="en-GB"/>
        </w:rPr>
        <w:t xml:space="preserve">•	</w:t>
      </w:r>
      <w:r>
        <w:rPr>
          <w:color w:val="000000"/>
          <w:lang w:val="en-GB"/>
        </w:rPr>
        <w:t xml:space="preserve">In the intervention arm, in-shoe plantar pressure is measured without and with the orthosis at every assessment, so the offloading actually delivered can be set against the clinical result.</w:t>
      </w:r>
    </w:p>
    <w:p>
      <w:pPr>
        <w:ind w:left="360" w:hanging="360"/>
        <w:rPr>
          <w:lang w:val="en-GB"/>
        </w:rPr>
      </w:pPr>
      <w:r>
        <w:rPr>
          <w:color w:val="000000"/>
          <w:lang w:val="en-GB"/>
        </w:rPr>
        <w:t xml:space="preserve">•	</w:t>
      </w:r>
      <w:r>
        <w:rPr>
          <w:color w:val="000000"/>
          <w:lang w:val="en-GB"/>
        </w:rPr>
        <w:t xml:space="preserve">Participants and clinicians cannot be blinded and the same staff treat both arms, so performance bias and contamination of usual care are possible; both are monitored rather than prevented.</w:t>
      </w:r>
    </w:p>
    <w:p>
      <w:pPr>
        <w:ind w:left="360" w:hanging="360"/>
        <w:rPr>
          <w:lang w:val="en-GB"/>
        </w:rPr>
      </w:pPr>
      <w:r>
        <w:rPr>
          <w:color w:val="000000"/>
          <w:lang w:val="en-GB"/>
        </w:rPr>
        <w:t xml:space="preserve">•	</w:t>
      </w:r>
      <w:r>
        <w:rPr>
          <w:color w:val="000000"/>
          <w:lang w:val="en-GB"/>
        </w:rPr>
        <w:t xml:space="preserve">The assumed effect is taken from the adherent subgroup of an earlier trial, and the trial is underpowered to detect an effect half that size.</w:t>
      </w:r>
    </w:p>
    <w:p>
      <w:pPr>
        <w:pStyle w:val="Kop1"/>
        <w:pageBreakBefore/>
        <w:rPr>
          <w:lang w:val="en-GB"/>
        </w:rPr>
      </w:pPr>
      <w:r>
        <w:rPr>
          <w:color w:val="000000"/>
          <w:lang w:val="en-GB"/>
        </w:rPr>
        <w:t xml:space="preserve">Introduction</w:t>
      </w:r>
    </w:p>
    <w:p>
      <w:pPr>
        <w:rPr>
          <w:lang w:val="en-GB"/>
        </w:rPr>
      </w:pPr>
      <w:r>
        <w:rPr>
          <w:color w:val="000000"/>
          <w:lang w:val="en-GB"/>
        </w:rPr>
        <w:t xml:space="preserve">Diabetes-related foot ulceration is the most common lower-extremity complication of diabetes and may lead to prolonged treatment, recurrent wounds and amputation </w:t>
      </w:r>
      <w:sdt>
        <w:sdtPr>
          <w:tag w:val="CITATION ArmstrongD17"/>
          <w:id w:val="1364634463"/>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In England, healthcare expenditure on ulceration and amputation in diabetes was estimated at £837–962 million in 2014–2015, more than the combined expenditure on breast, prostate and lung cancer </w:t>
      </w:r>
      <w:sdt>
        <w:sdtPr>
          <w:tag w:val="CITATION KerrM19"/>
          <w:id w:val="793070144"/>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Pr>
          <w:color w:val="000000"/>
          <w:lang w:val="en-GB"/>
        </w:rPr>
        <w:t xml:space="preserve">. Healing is only part of the problem. In the EURODIALE cohort, 23% of patients had not healed after one year </w:t>
      </w:r>
      <w:sdt>
        <w:sdtPr>
          <w:tag w:val="CITATION PrompersL08"/>
          <w:id w:val="1653444670"/>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Pr>
          <w:color w:val="000000"/>
          <w:lang w:val="en-GB"/>
        </w:rPr>
        <w:t xml:space="preserve">, and after healing approximately 40% of patients have a recurrence within one year, nearly 60% within three years and 65% within five years </w:t>
      </w:r>
      <w:sdt>
        <w:sdtPr>
          <w:tag w:val="CITATION ArmstrongD17"/>
          <w:id w:val="35831708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Wound closure is better regarded as remission than as resolution </w:t>
      </w:r>
      <w:sdt>
        <w:sdtPr>
          <w:tag w:val="CITATION ArmstrongD17"/>
          <w:id w:val="55514964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w:t>
      </w:r>
    </w:p>
    <w:p>
      <w:pPr>
        <w:rPr>
          <w:lang w:val="en-GB"/>
        </w:rPr>
      </w:pPr>
      <w:r>
        <w:rPr>
          <w:color w:val="000000"/>
          <w:lang w:val="en-GB"/>
        </w:rPr>
        <w:t xml:space="preserve">Recurrence is common because healing closes the ulcer without correcting the factors that caused it. Peripheral neuropathy, deformity, elevated plantar pressure and peripheral artery disease generally persist, and the proximate mechanism is repetitive stress on a vulnerable plantar site in a foot that has lost protective sensation </w:t>
      </w:r>
      <w:sdt>
        <w:sdtPr>
          <w:tag w:val="CITATION ArmstrongD17"/>
          <w:id w:val="110947706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That mechanism helps explain why approximately three-quarters of foot ulcers are considered preventable in principle </w:t>
      </w:r>
      <w:sdt>
        <w:sdtPr>
          <w:tag w:val="CITATION BusS15"/>
          <w:id w:val="1258098928"/>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Pr>
          <w:color w:val="000000"/>
          <w:lang w:val="en-GB"/>
        </w:rPr>
        <w:t xml:space="preserve">; the gap between that estimate and the observed recurrence rate defines the problem this trial addresses.</w:t>
      </w:r>
    </w:p>
    <w:p>
      <w:pPr>
        <w:rPr>
          <w:lang w:val="en-GB"/>
        </w:rPr>
      </w:pPr>
      <w:r>
        <w:rPr>
          <w:color w:val="000000"/>
          <w:lang w:val="en-GB"/>
        </w:rPr>
        <w:t xml:space="preserve">Interventions targeting the mechanism have taken three forms: pressure-optimised offloading, patient education and continuous digital pressure feedback </w:t>
      </w:r>
      <w:sdt>
        <w:sdtPr>
          <w:tag w:val="CITATION NajafiB20"/>
          <w:id w:val="728403168"/>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Pr>
          <w:color w:val="000000"/>
          <w:lang w:val="en-GB"/>
        </w:rPr>
        <w:t xml:space="preserve">. Where they have worked, the benefit has depended on sustained patient behaviour. Reducing in-shoe peak pressure below 200 kPa, or by at least 25% relative to the footwear before modification, is the established criterion for pressure-guided footwear optimisation </w:t>
      </w:r>
      <w:sdt>
        <w:sdtPr>
          <w:tag w:val="CITATION BusS11"/>
          <w:id w:val="672971038"/>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and pressure-informed therapeutic footwear is recommended after plantar ulceration </w:t>
      </w:r>
      <w:sdt>
        <w:sdtPr>
          <w:tag w:val="CITATION BusS23"/>
          <w:id w:val="1638743993"/>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Yet in the pivotal multicentre trial of this approach, recurrence over 18 months was 38.8% with improved and 44.2% with non-improved custom footwear (odds ratio 0.80, 95% CI 0.44 to 1.47). Only among the 46% of participants who wore their footwear as recommended was recurrence lower, at 25.7% versus 47.8% (odds ratio 0.38, 95% CI 0.15 to 0.99) </w:t>
      </w:r>
      <w:sdt>
        <w:sdtPr>
          <w:tag w:val="CITATION BusS13"/>
          <w:id w:val="159461668"/>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Patient education delivered on its own has not prevented recurrence </w:t>
      </w:r>
      <w:sdt>
        <w:sdtPr>
          <w:tag w:val="CITATION NettenJ15"/>
          <w:id w:val="848911464"/>
          <w:citation/>
        </w:sdtPr>
        <w:sdtEndPr/>
        <w:sdtContent>
          <w:r>
            <w:fldChar w:fldCharType="begin"/>
          </w:r>
          <w:r w:rsidRPr="0065684E">
            <w:rPr>
              <w:lang w:val="en-GB"/>
            </w:rPr>
            <w:instrText xml:space="preserve"> CITATION NettenJ15 \m LincolnN08 \l 1033 </w:instrText>
          </w:r>
          <w:r>
            <w:fldChar w:fldCharType="separate"/>
          </w:r>
          <w:r w:rsidRPr="0065684E">
            <w:rPr>
              <w:noProof/>
              <w:lang w:val="en-GB"/>
            </w:rPr>
            <w:t>(10,11)</w:t>
          </w:r>
          <w:r>
            <w:fldChar w:fldCharType="end"/>
          </w:r>
        </w:sdtContent>
      </w:sdt>
      <w:r>
        <w:rPr>
          <w:color w:val="000000"/>
          <w:lang w:val="en-GB"/>
        </w:rPr>
        <w:t xml:space="preserve">. An intelligent insole that alerted patients to sustained high pressure reduced plantar ulcer recurrence over 18 months in a proof-of-concept trial, with a larger reduction among participants who wore it consistently </w:t>
      </w:r>
      <w:sdt>
        <w:sdtPr>
          <w:tag w:val="CITATION AbbottC19"/>
          <w:id w:val="395887097"/>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Pr>
          <w:color w:val="000000"/>
          <w:lang w:val="en-GB"/>
        </w:rPr>
        <w:t xml:space="preserve">.</w:t>
      </w:r>
    </w:p>
    <w:p>
      <w:pPr>
        <w:rPr>
          <w:lang w:val="en-GB"/>
        </w:rPr>
      </w:pPr>
      <w:r>
        <w:rPr>
          <w:color w:val="000000"/>
          <w:lang w:val="en-GB"/>
        </w:rPr>
        <w:t xml:space="preserve">Offloading and adherence are therefore parts of one causal process rather than alternatives. The cumulative stress borne by plantar tissue depends on the pressure applied, the amount of weight-bearing activity and whether offloading footwear is worn during that activity </w:t>
      </w:r>
      <w:sdt>
        <w:sdtPr>
          <w:tag w:val="CITATION LazzariniP19"/>
          <w:id w:val="11189761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Pr>
          <w:color w:val="000000"/>
          <w:lang w:val="en-GB"/>
        </w:rPr>
        <w:t xml:space="preserve">, and recommended use of adequately offloading footwear strongly protected against recurrence attributed to unrecognised repetitive trauma </w:t>
      </w:r>
      <w:sdt>
        <w:sdtPr>
          <w:tag w:val="CITATION WaaijmanR14"/>
          <w:id w:val="1658664427"/>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(14)</w:t>
          </w:r>
          <w:r>
            <w:fldChar w:fldCharType="end"/>
          </w:r>
        </w:sdtContent>
      </w:sdt>
      <w:r>
        <w:rPr>
          <w:color w:val="000000"/>
          <w:lang w:val="en-GB"/>
        </w:rPr>
        <w:t xml:space="preserve">. Optimised footwear cannot protect a foot when it is not worn, and faithful use of poorly offloading footwear provides insufficient relief. Measuring both components over time has proved difficult: in two cohorts designed for this purpose, complete data were obtained for 38% and 8% of participants at baseline and follow-up in one and for 8% and 0% in the other </w:t>
      </w:r>
      <w:sdt>
        <w:sdtPr>
          <w:tag w:val="CITATION HulshofC24"/>
          <w:id w:val="1271057440"/>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(15)</w:t>
          </w:r>
          <w:r>
            <w:fldChar w:fldCharType="end"/>
          </w:r>
        </w:sdtContent>
      </w:sdt>
      <w:r>
        <w:rPr>
          <w:color w:val="000000"/>
          <w:lang w:val="en-GB"/>
        </w:rPr>
        <w:t xml:space="preserve">, and the strongest evidence linking cumulative tissue stress to ulceration is observational and limited to 12 months </w:t>
      </w:r>
      <w:sdt>
        <w:sdtPr>
          <w:tag w:val="CITATION HulshofC25"/>
          <w:id w:val="731521839"/>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(16)</w:t>
          </w:r>
          <w:r>
            <w:fldChar w:fldCharType="end"/>
          </w:r>
        </w:sdtContent>
      </w:sdt>
      <w:r>
        <w:rPr>
          <w:color w:val="000000"/>
          <w:lang w:val="en-GB"/>
        </w:rPr>
        <w:t xml:space="preserve">.</w:t>
      </w:r>
    </w:p>
    <w:p>
      <w:pPr>
        <w:rPr>
          <w:lang w:val="en-GB"/>
        </w:rPr>
      </w:pPr>
      <w:r>
        <w:rPr>
          <w:color w:val="000000"/>
          <w:lang w:val="en-GB"/>
        </w:rPr>
        <w:t xml:space="preserve">Two developments make a trial addressing both components possible. Self-reported adherence is inaccurate, whereas temperature sensors offer a feasible objective measure of footwear use </w:t>
      </w:r>
      <w:sdt>
        <w:sdtPr>
          <w:tag w:val="CITATION LutjeboerT18"/>
          <w:id w:val="1045334741"/>
          <w:citation/>
        </w:sdtPr>
        <w:sdtEndPr/>
        <w:sdtContent>
          <w:r>
            <w:fldChar w:fldCharType="begin"/>
          </w:r>
          <w:r w:rsidRPr="0065684E">
            <w:rPr>
              <w:lang w:val="en-GB"/>
            </w:rPr>
            <w:instrText xml:space="preserve"> CITATION LutjeboerT18 \l 1033 </w:instrText>
          </w:r>
          <w:r>
            <w:fldChar w:fldCharType="separate"/>
          </w:r>
          <w:r w:rsidRPr="0065684E">
            <w:rPr>
              <w:noProof/>
              <w:lang w:val="en-GB"/>
            </w:rPr>
            <w:t>(17)</w:t>
          </w:r>
          <w:r>
            <w:fldChar w:fldCharType="end"/>
          </w:r>
        </w:sdtContent>
      </w:sdt>
      <w:r>
        <w:rPr>
          <w:color w:val="000000"/>
          <w:lang w:val="en-GB"/>
        </w:rPr>
        <w:t xml:space="preserve">, turning adherence from an assumption into a measurable target. And adherence has proved modifiable: in the DIASSIST trial, an intervention combining pressure-optimised custom-made footwear, indoor footwear, structured education and motivational interviewing with personalised feedback increased adherence at 6 and 12 months </w:t>
      </w:r>
      <w:sdt>
        <w:sdtPr>
          <w:tag w:val="CITATION VossenL23"/>
          <w:id w:val="1480390704"/>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(18,19)</w:t>
          </w:r>
          <w:r>
            <w:fldChar w:fldCharType="end"/>
          </w:r>
        </w:sdtContent>
      </w:sdt>
      <w:r>
        <w:rPr>
          <w:color w:val="000000"/>
          <w:lang w:val="en-GB"/>
        </w:rPr>
        <w:t xml:space="preserve">. Its published results concern adherence rather than recurrence. Whether a gain in wear time, applied to footwear whose offloading is verified rather than assumed, reduces recurrence over 18 months remains unknown.</w:t>
      </w:r>
    </w:p>
    <w:p>
      <w:pPr>
        <w:rPr>
          <w:lang w:val="en-GB"/>
        </w:rPr>
      </w:pPr>
      <w:r>
        <w:rPr>
          <w:color w:val="000000"/>
          <w:lang w:val="en-GB"/>
        </w:rPr>
        <w:t xml:space="preserve">Belgian diabetic foot clinics are multidisciplinary units recognised by the National Institute for Health and Disability Insurance (RIZIV–INAMI) and operate under predefined quality criteria, including treating at least 52 patients a year with a Wagner grade 2 or higher ulcer or acute neuropathic osteoarthropathy </w:t>
      </w:r>
      <w:sdt>
        <w:sdtPr>
          <w:tag w:val="CITATION MorbachS15"/>
          <w:id w:val="682713063"/>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Pr>
          <w:color w:val="000000"/>
          <w:lang w:val="en-GB"/>
        </w:rPr>
        <w:t xml:space="preserve">. They are the setting in which a preventive service would ultimately have to work. PARADISE adds two components to usual care in these clinics: footwear whose offloading is verified against a pre-specified in-shoe pressure criterion at every assessment, and a structured behavioural programme in which clinicians use objective wear-time data to guide counselling. Unlike the intelligent insole, PARADISE places the behavioural work with the clinical team rather than with a device, uses sensor data periodically to structure counselling rather than continuously to trigger alerts, and improves the passive offloading of the orthosis itself </w:t>
      </w:r>
      <w:sdt>
        <w:sdtPr>
          <w:tag w:val="CITATION AbbottC19"/>
          <w:id w:val="1295340316"/>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Pr>
          <w:color w:val="000000"/>
          <w:lang w:val="en-GB"/>
        </w:rPr>
        <w:t xml:space="preserve">. We claim no novelty for any single component. Whether their integration, delivered by multidisciplinary teams under routine caseloads, reduces recurrence has not been established.</w:t>
      </w:r>
    </w:p>
    <w:p>
      <w:pPr>
        <w:rPr>
          <w:lang w:val="en-GB"/>
        </w:rPr>
      </w:pPr>
      <w:r>
        <w:rPr>
          <w:b/>
          <w:bCs/>
          <w:color w:val="000000"/>
          <w:lang w:val="en-GB"/>
        </w:rPr>
        <w:t xml:space="preserve">Objectives</w:t>
      </w:r>
      <w:r>
        <w:rPr>
          <w:color w:val="000000"/>
          <w:lang w:val="en-GB"/>
        </w:rPr>
        <w:t xml:space="preserve"> The primary objective is to determine whether PARADISE, added to usual care, reduces foot ulcer recurrence over 18 months compared with usual care alone in people with diabetes at high risk of ulceration. Adherence to protective footwear is the pre-specified mediator of that effect; it is measured throughout and analysed primarily at 12 months. Secondary objectives are to estimate the cost-effectiveness and cost-utility of PARADISE and, through a mixed-methods process evaluation, to characterise its implementation, mechanisms and context. The exploratory objective is to estimate the relationship between cumulative plantar tissue stress and recurrence. We hypothesise that PARADISE lowers recurrence and that this effect operates through higher adherence, which carries no success criterion of its own.</w:t>
      </w:r>
    </w:p>
    <w:p>
      <w:pPr>
        <w:pStyle w:val="Kop1"/>
        <w:rPr>
          <w:lang w:val="en-GB"/>
        </w:rPr>
      </w:pPr>
      <w:r>
        <w:rPr>
          <w:color w:val="000000"/>
          <w:lang w:val="en-GB"/>
        </w:rPr>
        <w:t xml:space="preserve">Methods and analysis</w:t>
      </w:r>
    </w:p>
    <w:p>
      <w:pPr>
        <w:rPr>
          <w:lang w:val="en-GB"/>
        </w:rPr>
      </w:pPr>
      <w:r>
        <w:rPr>
          <w:color w:val="000000"/>
          <w:lang w:val="en-GB"/>
        </w:rPr>
        <w:t xml:space="preserve">This protocol follows the SPIRIT 2025 statement </w:t>
      </w:r>
      <w:sdt>
        <w:sdtPr>
          <w:tag w:val="CITATION ChanA25"/>
          <w:id w:val="778203449"/>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Pr>
          <w:color w:val="000000"/>
          <w:lang w:val="en-GB"/>
        </w:rPr>
        <w:t xml:space="preserve"> (online supplemental file 1); the schedule of enrolment, interventions and assessments is shown in table 1. The intervention is described according to TIDieR </w:t>
      </w:r>
      <w:sdt>
        <w:sdtPr>
          <w:tag w:val="CITATION HoffmannT14"/>
          <w:id w:val="265698449"/>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Pr>
          <w:color w:val="000000"/>
          <w:lang w:val="en-GB"/>
        </w:rPr>
        <w:t xml:space="preserve"> (online supplemental file 2), and the trial's position on the explanatory–pragmatic continuum was rated with PRECIS-2 </w:t>
      </w:r>
      <w:sdt>
        <w:sdtPr>
          <w:tag w:val="CITATION LoudonK15"/>
          <w:id w:val="269274126"/>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Pr>
          <w:color w:val="000000"/>
          <w:lang w:val="en-GB"/>
        </w:rPr>
        <w:t xml:space="preserve"> (online supplemental file 3). Results will be reported according to CONSORT 2025 </w:t>
      </w:r>
      <w:sdt>
        <w:sdtPr>
          <w:tag w:val="CITATION HopewellS25"/>
          <w:id w:val="926687995"/>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Pr>
          <w:color w:val="000000"/>
          <w:lang w:val="en-GB"/>
        </w:rPr>
        <w:t xml:space="preserve">.</w:t>
      </w:r>
    </w:p>
    <w:p>
      <w:pPr>
        <w:pStyle w:val="Kop2"/>
        <w:rPr>
          <w:lang w:val="en-GB"/>
        </w:rPr>
      </w:pPr>
      <w:r>
        <w:rPr>
          <w:color w:val="000000"/>
          <w:lang w:val="en-GB"/>
        </w:rPr>
        <w:t xml:space="preserve">Study design, setting and dates</w:t>
      </w:r>
    </w:p>
    <w:p>
      <w:pPr>
        <w:rPr>
          <w:lang w:val="en-GB"/>
        </w:rPr>
      </w:pPr>
      <w:r>
        <w:rPr>
          <w:color w:val="000000"/>
          <w:lang w:val="en-GB"/>
        </w:rPr>
        <w:t xml:space="preserve">PARADISE is a multicentre, parallel-group, open-label, superiority randomised controlled trial with 1:1 allocation and 18 months of follow-up. Because the custom-made foot orthosis with an embedded sensor is a medical device, the trial is conducted as a clinical investigation under Regulation (EU) 2017/745 </w:t>
      </w:r>
      <w:sdt>
        <w:sdtPr>
          <w:tag w:val="CITATION MDR17"/>
          <w:id w:val="1480730138"/>
          <w:citation/>
        </w:sdtPr>
        <w:sdtEndPr/>
        <w:sdtContent>
          <w:r>
            <w:fldChar w:fldCharType="begin"/>
          </w:r>
          <w:r w:rsidRPr="0065684E">
            <w:rPr>
              <w:lang w:val="en-GB"/>
            </w:rPr>
            <w:instrText xml:space="preserve"> CITATION MDR17 \l 1033 </w:instrText>
          </w:r>
          <w:r>
            <w:fldChar w:fldCharType="separate"/>
          </w:r>
          <w:r w:rsidRPr="0065684E">
            <w:rPr>
              <w:noProof/>
              <w:lang w:val="en-GB"/>
            </w:rPr>
            <w:t>(25)</w:t>
          </w:r>
          <w:r>
            <w:fldChar w:fldCharType="end"/>
          </w:r>
        </w:sdtContent>
      </w:sdt>
      <w:r>
        <w:rPr>
          <w:color w:val="000000"/>
          <w:lang w:val="en-GB"/>
        </w:rPr>
        <w:t xml:space="preserve">. Participants are recruited from the diabetic foot clinics of six Belgian hospitals: three academic centres (University Hospitals Leuven, Ghent University Hospital and Antwerp University Hospital) and three non-academic centres (AZORG, Aalst; AZ Groeninge, Kortrijk; AZ Sint-Jan Brugge) (online supplemental file 4). Each clinic has held RIZIV–INAMI recognition for more than 10 years and has a multidisciplinary team of a diabetologist, podiatrist, diabetes nurse, pedorthist and on-call surgeon. The non-academic centres are included deliberately, because the trial asks whether the service works under routine conditions. </w:t>
      </w:r>
      <w:commentRangeStart w:id="1"/>
      <w:r>
        <w:rPr>
          <w:color w:val="000000"/>
          <w:lang w:val="en-GB"/>
        </w:rPr>
        <w:t xml:space="preserve">Recruitment has not started.</w:t>
      </w:r>
      <w:commentRangeEnd w:id="1"/>
      <w:r>
        <w:rPr>
          <w:rStyle w:val="Verwijzingopmerking"/>
        </w:rPr>
        <w:commentReference w:id="1"/>
      </w:r>
      <w:r>
        <w:rPr>
          <w:color w:val="000000"/>
          <w:lang w:val="en-GB"/>
        </w:rPr>
        <w:t xml:space="preserve"> It is planned to begin after a go/no-go decision on 23 February 2027 and to last 12 months; follow-up of the last participant is expected to end in August 2029. This manuscript describes protocol version 1.0 (17 May 2026).</w:t>
      </w:r>
    </w:p>
    <w:p>
      <w:pPr>
        <w:pStyle w:val="Kop2"/>
        <w:rPr>
          <w:lang w:val="en-GB"/>
        </w:rPr>
      </w:pPr>
      <w:r>
        <w:rPr>
          <w:color w:val="000000"/>
          <w:lang w:val="en-GB"/>
        </w:rPr>
        <w:t xml:space="preserve">Participants</w:t>
      </w:r>
    </w:p>
    <w:p>
      <w:pPr>
        <w:rPr>
          <w:lang w:val="en-GB"/>
        </w:rPr>
      </w:pPr>
      <w:r>
        <w:rPr>
          <w:b/>
          <w:bCs/>
          <w:color w:val="000000"/>
          <w:lang w:val="en-GB"/>
        </w:rPr>
        <w:t xml:space="preserve">Inclusion criteria</w:t>
      </w:r>
      <w:r>
        <w:rPr>
          <w:color w:val="000000"/>
          <w:lang w:val="en-GB"/>
        </w:rPr>
        <w:t xml:space="preserve"> Adults aged 18 years or older with diabetes as defined by the American Diabetes Association and the European Association for the Study of Diabetes, excluding gestational diabetes, who understand Dutch and have a foot at International Working Group on the Diabetic Foot (IWGDF) risk category 3: a plantar foot ulcer healed within the preceding 18 months and at least 2 weeks before inclusion, an amputation of one or more toes, or a resection of one or more metatarsal heads. Vascular status must be PEDIS perfusion grade 1 or 2 and stable in the judgement of the treating physician. Participants must walk barefoot independently without support and either possess protective footwear that is fully custom-made, or custom-made orthoses in semi-orthopaedic or adequate extra-depth footwear, or accept a change to such footwear, which RIZIV–INAMI reimburses.</w:t>
      </w:r>
    </w:p>
    <w:p>
      <w:pPr>
        <w:rPr>
          <w:lang w:val="en-GB"/>
        </w:rPr>
      </w:pPr>
      <w:r>
        <w:rPr>
          <w:b/>
          <w:bCs/>
          <w:color w:val="000000"/>
          <w:lang w:val="en-GB"/>
        </w:rPr>
        <w:t xml:space="preserve">Exclusion criteria</w:t>
      </w:r>
      <w:r>
        <w:rPr>
          <w:color w:val="000000"/>
          <w:lang w:val="en-GB"/>
        </w:rPr>
        <w:t xml:space="preserve"> An amputation proximal to the metatarsophalangeal joints (such as a complete ray, transmetatarsal or major amputation); an active foot ulcer, active Charcot neuroarthropathy or a healed Charcot deformity with rocker-bottom or comparable structural collapse; critical limb ischaemia (PEDIS perfusion grade 3: systolic ankle pressure below 50 mmHg, toe pressure below 30 mmHg or transcutaneous oxygen tension below 30 mmHg) </w:t>
      </w:r>
      <w:sdt>
        <w:sdtPr>
          <w:tag w:val="CITATION NettenJ23"/>
          <w:id w:val="644332324"/>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(26,27)</w:t>
          </w:r>
          <w:r>
            <w:fldChar w:fldCharType="end"/>
          </w:r>
        </w:sdtContent>
      </w:sdt>
      <w:r>
        <w:rPr>
          <w:color w:val="000000"/>
          <w:lang w:val="en-GB"/>
        </w:rPr>
        <w:t xml:space="preserve">; renal replacement or immunosuppressive therapy; a severe illness limiting survival over 18 months; inability to consent or to follow study instructions; a device that prevents sensor use, such as an ankle-foot orthosis; and refusal of the protective footwear or of the sensor in the orthosis.</w:t>
      </w:r>
    </w:p>
    <w:p>
      <w:pPr>
        <w:rPr>
          <w:lang w:val="en-GB"/>
        </w:rPr>
      </w:pPr>
      <w:r>
        <w:rPr>
          <w:color w:val="000000"/>
          <w:lang w:val="en-GB"/>
        </w:rPr>
        <w:t xml:space="preserve">Category 3 identifies the population in which recurrence is frequent enough for a prevention trial to be ethical and efficient. The vascular criteria restrict the trial to people for whom offloading, not revascularisation, is the appropriate primary intervention, and the sensor criterion is a precondition for measuring the mediator. Restricting eligibility to Dutch speakers keeps the conversational behavioural programme deliverable but limits generalisability to people who need an interpreter; health literacy is measured in all participants so that variation along that gradient can be examined.</w:t>
      </w:r>
    </w:p>
    <w:p>
      <w:pPr>
        <w:rPr>
          <w:lang w:val="en-GB"/>
        </w:rPr>
      </w:pPr>
      <w:r>
        <w:rPr>
          <w:b/>
          <w:bCs/>
          <w:color w:val="000000"/>
          <w:lang w:val="en-GB"/>
        </w:rPr>
        <w:t xml:space="preserve">Recruitment</w:t>
      </w:r>
      <w:r>
        <w:rPr>
          <w:color w:val="000000"/>
          <w:lang w:val="en-GB"/>
        </w:rPr>
        <w:t xml:space="preserve"> Candidates are identified by screening outpatient schedules and through referrals within each clinic. Each centre aims to include 24 participants over 12 months, approximately two a month, which is below the throughput implied by the minimum caseload for recognition </w:t>
      </w:r>
      <w:sdt>
        <w:sdtPr>
          <w:tag w:val="CITATION MorbachS15"/>
          <w:id w:val="593316208"/>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Pr>
          <w:color w:val="000000"/>
          <w:lang w:val="en-GB"/>
        </w:rPr>
        <w:t xml:space="preserve">. All screened patients, reasons for exclusion and refusals are recorded in a screening log and will be reported in the CONSORT flow diagram (figure 1).</w:t>
      </w:r>
    </w:p>
    <w:p>
      <w:pPr>
        <w:pStyle w:val="Kop2"/>
        <w:rPr>
          <w:lang w:val="en-GB"/>
        </w:rPr>
      </w:pPr>
      <w:r>
        <w:rPr>
          <w:color w:val="000000"/>
          <w:lang w:val="en-GB"/>
        </w:rPr>
        <w:t xml:space="preserve">Randomisation and allocation concealment</w:t>
      </w:r>
    </w:p>
    <w:p>
      <w:pPr>
        <w:rPr>
          <w:lang w:val="en-GB"/>
        </w:rPr>
      </w:pPr>
      <w:r>
        <w:rPr>
          <w:color w:val="000000"/>
          <w:lang w:val="en-GB"/>
        </w:rPr>
        <w:t xml:space="preserve">Participants are randomised 1:1, stratified by centre. For each centre, 24 allocations (12 per arm) were sealed in identical opaque envelopes, shuffled and only then numbered; no blocks are used. The site investigator opens the envelopes in numerical order, only after eligibility has been confirmed, consent obtained and baseline assessments completed, and records date, time and participant identifier; envelope integrity is checked during monitoring. Because the ratio per centre is fixed, the last allocations at a centre become predictable; concealment therefore rests on that order of operations.</w:t>
      </w:r>
    </w:p>
    <w:p>
      <w:pPr>
        <w:pStyle w:val="Kop2"/>
        <w:rPr>
          <w:lang w:val="en-GB"/>
        </w:rPr>
      </w:pPr>
      <w:r>
        <w:rPr>
          <w:color w:val="000000"/>
          <w:lang w:val="en-GB"/>
        </w:rPr>
        <w:t xml:space="preserve">Blinding</w:t>
      </w:r>
    </w:p>
    <w:p>
      <w:pPr>
        <w:rPr>
          <w:lang w:val="en-GB"/>
        </w:rPr>
      </w:pPr>
      <w:r>
        <w:rPr>
          <w:color w:val="000000"/>
          <w:lang w:val="en-GB"/>
        </w:rPr>
        <w:t xml:space="preserve">Participants and clinicians cannot be blinded to a face-to-face education and footwear-optimisation service. Three safeguards limit the resulting bias. Adherence is recorded by the sensor without participant or clinician input, and ulcer recurrence is a verifiable clinical event. Suspected ulcers are assessed by the multidisciplinary team against predefined criteria, with standardised photographs, in the same way in both arms. Outcome data for the clinical, economic and process evaluations are collected by two research assessors who do not deliver the intervention.</w:t>
      </w:r>
    </w:p>
    <w:p>
      <w:pPr>
        <w:rPr>
          <w:lang w:val="en-GB"/>
        </w:rPr>
      </w:pPr>
      <w:r>
        <w:rPr>
          <w:color w:val="000000"/>
          <w:lang w:val="en-GB"/>
        </w:rPr>
        <w:t xml:space="preserve">In the usual-care arm, in-shoe pressure is measured only at baseline and at 6 months, with a 50 kPa display threshold and the values switched off, so that results are neither shown nor discussed. Withholding pressure values from people with a healed plantar ulcer needs justification, because elevated plantar pressure is a clinically meaningful risk marker </w:t>
      </w:r>
      <w:sdt>
        <w:sdtPr>
          <w:tag w:val="CITATION AbbottC22"/>
          <w:id w:val="1069911959"/>
          <w:citation/>
        </w:sdtPr>
        <w:sdtEndPr/>
        <w:sdtContent>
          <w:r>
            <w:fldChar w:fldCharType="begin"/>
          </w:r>
          <w:r w:rsidRPr="0065684E">
            <w:rPr>
              <w:lang w:val="en-GB"/>
            </w:rPr>
            <w:instrText xml:space="preserve"> CITATION AbbottC22 \l 1033 </w:instrText>
          </w:r>
          <w:r>
            <w:fldChar w:fldCharType="separate"/>
          </w:r>
          <w:r w:rsidRPr="0065684E">
            <w:rPr>
              <w:noProof/>
              <w:lang w:val="en-GB"/>
            </w:rPr>
            <w:t>(28)</w:t>
          </w:r>
          <w:r>
            <w:fldChar w:fldCharType="end"/>
          </w:r>
        </w:sdtContent>
      </w:sdt>
      <w:r>
        <w:rPr>
          <w:color w:val="000000"/>
          <w:lang w:val="en-GB"/>
        </w:rPr>
        <w:t xml:space="preserve">. Quantified in-shoe pressure is not part of routine care in Belgian clinics and pressure-guided optimisation is not reimbursed, so the measurement generates information participants would not otherwise have had; acting on it would be the intervention itself; and usual-care participants keep every element of guideline-based care. Any pre-ulcerative lesion or abnormal finding seen during a study assessment is reported immediately to the treating clinician in either arm.</w:t>
      </w:r>
    </w:p>
    <w:p>
      <w:pPr>
        <w:rPr>
          <w:lang w:val="en-GB"/>
        </w:rPr>
      </w:pPr>
      <w:r>
        <w:rPr>
          <w:b/>
          <w:bCs/>
          <w:color w:val="000000"/>
          <w:lang w:val="en-GB"/>
        </w:rPr>
        <w:t xml:space="preserve">Contamination</w:t>
      </w:r>
      <w:r>
        <w:rPr>
          <w:color w:val="000000"/>
          <w:lang w:val="en-GB"/>
        </w:rPr>
        <w:t xml:space="preserve"> Because the same staff treat both arms, techniques learnt for PARADISE may spill over into usual care. Cluster randomisation was rejected: with six centres it could not separate intervention from centre effects, and the sample size required would exceed what the network can recruit. Wear-time data are therefore collected in both arms but neither shown to nor discussed with usual-care participants or their clinicians, pressure measurement in usual care is blinded, and therapist diaries record whether structured behavioural techniques were used in usual-care consultations. Contamination biases the comparison towards the null; its extent is reported as a process outcome.</w:t>
      </w:r>
    </w:p>
    <w:p>
      <w:pPr>
        <w:pStyle w:val="Kop2"/>
        <w:rPr>
          <w:lang w:val="en-GB"/>
        </w:rPr>
      </w:pPr>
      <w:r>
        <w:rPr>
          <w:color w:val="000000"/>
          <w:lang w:val="en-GB"/>
        </w:rPr>
        <w:t xml:space="preserve">Interventions</w:t>
      </w:r>
    </w:p>
    <w:p>
      <w:pPr>
        <w:pStyle w:val="Kop3"/>
        <w:rPr>
          <w:lang w:val="en-GB"/>
        </w:rPr>
      </w:pPr>
      <w:r>
        <w:rPr>
          <w:b/>
          <w:bCs/>
          <w:color w:val="000000"/>
          <w:lang w:val="en-GB"/>
        </w:rPr>
        <w:t xml:space="preserve">Usual care</w:t>
      </w:r>
    </w:p>
    <w:p>
      <w:pPr>
        <w:rPr>
          <w:lang w:val="en-GB"/>
        </w:rPr>
      </w:pPr>
      <w:r>
        <w:rPr>
          <w:color w:val="000000"/>
          <w:lang w:val="en-GB"/>
        </w:rPr>
        <w:t xml:space="preserve">Usual care follows national and international guidance </w:t>
      </w:r>
      <w:sdt>
        <w:sdtPr>
          <w:tag w:val="CITATION BusS23"/>
          <w:id w:val="272476892"/>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podiatric foot care and screening every 3 months, protective footwear with a pressure-redistributing custom-made foot orthosis whose offloading is not quantified, and education on foot care and footwear use. In routine practice this education is not structured, adherence is not monitored, and skill in behavioural support varies between professionals </w:t>
      </w:r>
      <w:sdt>
        <w:sdtPr>
          <w:tag w:val="CITATION PouwerF23"/>
          <w:id w:val="501283643"/>
          <w:citation/>
        </w:sdtPr>
        <w:sdtEndPr/>
        <w:sdtContent>
          <w:r>
            <w:fldChar w:fldCharType="begin"/>
          </w:r>
          <w:r w:rsidRPr="0065684E">
            <w:rPr>
              <w:lang w:val="en-GB"/>
            </w:rPr>
            <w:instrText xml:space="preserve"> CITATION PouwerF23 \l 1033 </w:instrText>
          </w:r>
          <w:r>
            <w:fldChar w:fldCharType="separate"/>
          </w:r>
          <w:r w:rsidRPr="0065684E">
            <w:rPr>
              <w:noProof/>
              <w:lang w:val="en-GB"/>
            </w:rPr>
            <w:t>(29)</w:t>
          </w:r>
          <w:r>
            <w:fldChar w:fldCharType="end"/>
          </w:r>
        </w:sdtContent>
      </w:sdt>
      <w:r>
        <w:rPr>
          <w:color w:val="000000"/>
          <w:lang w:val="en-GB"/>
        </w:rPr>
        <w:t xml:space="preserve">. Usual care is an active, guideline-based comparator, so any effect of PARADISE is incremental to current practice.</w:t>
      </w:r>
    </w:p>
    <w:p>
      <w:pPr>
        <w:pStyle w:val="Kop3"/>
        <w:rPr>
          <w:lang w:val="en-GB"/>
        </w:rPr>
      </w:pPr>
      <w:r>
        <w:rPr>
          <w:b/>
          <w:bCs/>
          <w:color w:val="000000"/>
          <w:lang w:val="en-GB"/>
        </w:rPr>
        <w:t xml:space="preserve">PARADISE</w:t>
      </w:r>
    </w:p>
    <w:p>
      <w:pPr>
        <w:rPr>
          <w:lang w:val="en-GB"/>
        </w:rPr>
      </w:pPr>
      <w:r>
        <w:rPr>
          <w:color w:val="000000"/>
          <w:lang w:val="en-GB"/>
        </w:rPr>
        <w:t xml:space="preserve">PARADISE adds two components to usual care: pressure-guided footwear optimisation and the Structured Education and Behavioural Intervention Approach (SEBIA). They target the two drivers of recurrence identified above, insufficient offloading and insufficient wear of the footwear that provides it (figure 2, table 2).</w:t>
      </w:r>
    </w:p>
    <w:p>
      <w:pPr>
        <w:rPr>
          <w:lang w:val="en-GB"/>
        </w:rPr>
      </w:pPr>
      <w:r>
        <w:rPr>
          <w:b/>
          <w:bCs/>
          <w:color w:val="000000"/>
          <w:lang w:val="en-GB"/>
        </w:rPr>
        <w:t xml:space="preserve">Pressure-guided footwear optimisation</w:t>
      </w:r>
      <w:r>
        <w:rPr>
          <w:color w:val="000000"/>
          <w:lang w:val="en-GB"/>
        </w:rPr>
        <w:t xml:space="preserve"> Participants in both arms receive a new pair of custom-made foot orthoses from a certified pedorthist. Their construction follows the shoe in which they are worn: in fully custom-made shoes a 5 mm base of micro-cork or shore-50 ethylene-vinyl acetate carries a 5 mm ethylene-vinyl acetate layer; in extra-depth off-the-shelf or semi-orthopaedic shoes a 6 mm ethylene-vinyl acetate layer is used without cork. Both have a 3–5 mm medial arch support, a 9–10 mm metatarsal bar 6–11 mm proximal to the metatarsal heads, local relief at prominent regions and a full-length top cover of 3 mm closed-cell over 3 mm open-cell foam </w:t>
      </w:r>
      <w:sdt>
        <w:sdtPr>
          <w:tag w:val="CITATION BusS19"/>
          <w:id w:val="965891505"/>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Pr>
          <w:color w:val="000000"/>
          <w:lang w:val="en-GB"/>
        </w:rPr>
        <w:t xml:space="preserve">. In the PARADISE arm the clinic team measures in-shoe pressure with the Novel pedar system (Novel GmbH, Munich, Germany) along a 10 m walkway, collecting at least 12 mid-gait steps per foot at self-selected speed in thin seamless socks. Peak pressure is analysed in eight regions (heel, medial and lateral midfoot, metatarsal 1, metatarsals 2–3, metatarsals 4–5, hallux and lesser toes). Per foot, up to three target regions are defined: the site of the previous ulcer and the two forefoot or midfoot regions with the highest peak pressure above 200 kPa; the heel is a target only if it was the ulcer site. At orthosis delivery and at 6, 12 and 18 months, pressure is measured without and then with the orthosis. The orthosis is adequate when peak pressure at each target region is below 200 kPa or at least 25% lower than without the orthosis in the same session; otherwise it is modified and measured again, up to three times </w:t>
      </w:r>
      <w:sdt>
        <w:sdtPr>
          <w:tag w:val="CITATION BusS11"/>
          <w:id w:val="1914849487"/>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At follow-up it is also modified if pressure at a target region has risen by 5% or more since the previous session. Once the targets are met, an identical second pair is made; from month 3 both pairs are checked every 3 months and serviced in turn. The pressure reduction achieved is recorded for every participant as a fidelity measure. Separately, the study team compares the pedar with the F-Scan GO system (Tekscan, Norwood, Massachusetts, USA) in a validation substudy that does not inform clinical decisions.</w:t>
      </w:r>
    </w:p>
    <w:p>
      <w:pPr>
        <w:rPr>
          <w:lang w:val="en-GB"/>
        </w:rPr>
      </w:pPr>
      <w:r>
        <w:rPr>
          <w:b/>
          <w:bCs/>
          <w:color w:val="000000"/>
          <w:lang w:val="en-GB"/>
        </w:rPr>
        <w:t xml:space="preserve">Adherence monitoring and wear-time target</w:t>
      </w:r>
      <w:r>
        <w:rPr>
          <w:color w:val="000000"/>
          <w:lang w:val="en-GB"/>
        </w:rPr>
        <w:t xml:space="preserve"> In both arms a temperature sensor (Orthotimer, Rollerwerk, Balingen, Germany; 9 × 13 × 4.5 mm) is embedded in the orthosis at delivery. It records temperature every 15 minutes in a 100-day ring buffer and is read out every 3 months. </w:t>
      </w:r>
      <w:commentRangeStart w:id="2"/>
      <w:r>
        <w:rPr>
          <w:color w:val="000000"/>
          <w:lang w:val="en-GB"/>
        </w:rPr>
        <w:t xml:space="preserve">From the second visit, participants also</w:t>
      </w:r>
      <w:commentRangeEnd w:id="2"/>
      <w:r>
        <w:rPr>
          <w:rStyle w:val="Verwijzingopmerking"/>
        </w:rPr>
        <w:commentReference w:id="2"/>
      </w:r>
      <w:r>
        <w:rPr>
          <w:color w:val="000000"/>
          <w:lang w:val="en-GB"/>
        </w:rPr>
        <w:t xml:space="preserve"> wear an accelerometer (MoveMonitor, McRoberts, The Hague, the Netherlands) for 7 days, so that activity and wear time are recorded concurrently in the new orthosis. The accelerometer records weight-bearing time and steps and determines habitual waking time, from rising to going to bed. That waking time is the personal denominator for adherence; a fixed number of hours would penalise inactive participants and favour active ones. In the week of concurrent recording, adherence can also be expressed as the proportion of steps taken while the prescribed footwear is worn </w:t>
      </w:r>
      <w:sdt>
        <w:sdtPr>
          <w:tag w:val="CITATION JarlG23"/>
          <w:id w:val="828659253"/>
          <w:citation/>
        </w:sdtPr>
        <w:sdtEndPr/>
        <w:sdtContent>
          <w:r>
            <w:fldChar w:fldCharType="begin"/>
          </w:r>
          <w:r w:rsidRPr="0065684E">
            <w:rPr>
              <w:lang w:val="en-GB"/>
            </w:rPr>
            <w:instrText xml:space="preserve"> CITATION JarlG23 \l 1033 </w:instrText>
          </w:r>
          <w:r>
            <w:fldChar w:fldCharType="separate"/>
          </w:r>
          <w:r w:rsidRPr="0065684E">
            <w:rPr>
              <w:noProof/>
              <w:lang w:val="en-GB"/>
            </w:rPr>
            <w:t>(30)</w:t>
          </w:r>
          <w:r>
            <w:fldChar w:fldCharType="end"/>
          </w:r>
        </w:sdtContent>
      </w:sdt>
      <w:r>
        <w:rPr>
          <w:color w:val="000000"/>
          <w:lang w:val="en-GB"/>
        </w:rPr>
        <w:t xml:space="preserve">, so that the two definitions can be compared within the same participants.</w:t>
      </w:r>
    </w:p>
    <w:p>
      <w:pPr>
        <w:rPr>
          <w:lang w:val="en-GB"/>
        </w:rPr>
      </w:pPr>
      <w:r>
        <w:rPr>
          <w:b/>
          <w:bCs/>
          <w:color w:val="000000"/>
          <w:lang w:val="en-GB"/>
        </w:rPr>
        <w:t xml:space="preserve">Structured education and behavioural support (SEBIA)</w:t>
      </w:r>
      <w:r>
        <w:rPr>
          <w:color w:val="000000"/>
          <w:lang w:val="en-GB"/>
        </w:rPr>
        <w:t xml:space="preserve"> SEBIA is a five-step programme delivered face-to-face by clinical staff of each clinic during scheduled visits. Step 1 (baseline) measures foot-care behaviour with the Nottingham Assessment of Functional Footcare (NAFF) </w:t>
      </w:r>
      <w:sdt>
        <w:sdtPr>
          <w:tag w:val="CITATION LincolnN07"/>
          <w:id w:val="141947496"/>
          <w:citation/>
        </w:sdtPr>
        <w:sdtEndPr/>
        <w:sdtContent>
          <w:r>
            <w:fldChar w:fldCharType="begin"/>
          </w:r>
          <w:r w:rsidRPr="0065684E">
            <w:rPr>
              <w:lang w:val="en-GB"/>
            </w:rPr>
            <w:instrText xml:space="preserve"> CITATION LincolnN07 \l 1033 </w:instrText>
          </w:r>
          <w:r>
            <w:fldChar w:fldCharType="separate"/>
          </w:r>
          <w:r w:rsidRPr="0065684E">
            <w:rPr>
              <w:noProof/>
              <w:lang w:val="en-GB"/>
            </w:rPr>
            <w:t>(31)</w:t>
          </w:r>
          <w:r>
            <w:fldChar w:fldCharType="end"/>
          </w:r>
        </w:sdtContent>
      </w:sdt>
      <w:r>
        <w:rPr>
          <w:color w:val="000000"/>
          <w:lang w:val="en-GB"/>
        </w:rPr>
        <w:t xml:space="preserve"> and health literacy, and provides tailored education with written material, demonstration and supervised practice. Step 2 (second visit, at orthosis delivery) repeats the NAFF, checks recall with the teach-back method, explains why protective footwear must be worn indoors as well as outdoors, where adherence is lowest and most steps are taken </w:t>
      </w:r>
      <w:sdt>
        <w:sdtPr>
          <w:tag w:val="CITATION WaaijmanR13"/>
          <w:id w:val="1922282147"/>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(32)</w:t>
          </w:r>
          <w:r>
            <w:fldChar w:fldCharType="end"/>
          </w:r>
        </w:sdtContent>
      </w:sdt>
      <w:r>
        <w:rPr>
          <w:color w:val="000000"/>
          <w:lang w:val="en-GB"/>
        </w:rPr>
        <w:t xml:space="preserve">, and tells the participant that wear time is monitored. Step 3 (months 3, 9 and 15) starts with self-assessment of adherence; the clinician then reviews the sensor data with the participant, explores periods of low wear, assesses perceived importance and barriers, and agrees solutions. Step 4 (months 6 and 12) asks the participant to demonstrate foot care, corrects gaps and reviews wear time against the previous visit, matching support to the cause of any shortfall. Step 5 (month 18) closes with a demonstration and feedback on adherence, without new content.</w:t>
      </w:r>
    </w:p>
    <w:p>
      <w:pPr>
        <w:rPr>
          <w:lang w:val="en-GB"/>
        </w:rPr>
      </w:pPr>
      <w:r>
        <w:rPr>
          <w:color w:val="000000"/>
          <w:lang w:val="en-GB"/>
        </w:rPr>
        <w:t xml:space="preserve">The programme maps onto the COM-B model. Capability is addressed through education, teach-back and supervised practice; opportunity through indoor-footwear advice and problem solving for practical barriers; and motivation through non-judgemental review of the participant's own wear-time data and explicit discussion of perceived importance. No step relies on knowledge transfer alone, which distinguishes SEBIA from the education strategies that have not prevented recurrence </w:t>
      </w:r>
      <w:sdt>
        <w:sdtPr>
          <w:tag w:val="CITATION DorresteijnJ12"/>
          <w:id w:val="1289931868"/>
          <w:citation/>
        </w:sdtPr>
        <w:sdtEndPr/>
        <w:sdtContent>
          <w:r>
            <w:fldChar w:fldCharType="begin"/>
          </w:r>
          <w:r w:rsidRPr="0065684E">
            <w:rPr>
              <w:lang w:val="en-GB"/>
            </w:rPr>
            <w:instrText xml:space="preserve"> CITATION DorresteijnJ12 \l 1033 </w:instrText>
          </w:r>
          <w:r>
            <w:fldChar w:fldCharType="separate"/>
          </w:r>
          <w:r w:rsidRPr="0065684E">
            <w:rPr>
              <w:noProof/>
              <w:lang w:val="en-GB"/>
            </w:rPr>
            <w:t>(33)</w:t>
          </w:r>
          <w:r>
            <w:fldChar w:fldCharType="end"/>
          </w:r>
        </w:sdtContent>
      </w:sdt>
      <w:r>
        <w:rPr>
          <w:color w:val="000000"/>
          <w:lang w:val="en-GB"/>
        </w:rPr>
        <w:t xml:space="preserve">.</w:t>
      </w:r>
    </w:p>
    <w:p>
      <w:pPr>
        <w:rPr>
          <w:lang w:val="en-GB"/>
        </w:rPr>
      </w:pPr>
      <w:r>
        <w:rPr>
          <w:b/>
          <w:bCs/>
          <w:color w:val="000000"/>
          <w:lang w:val="en-GB"/>
        </w:rPr>
        <w:t xml:space="preserve">Training, tailoring and fidelity</w:t>
      </w:r>
      <w:r>
        <w:rPr>
          <w:color w:val="000000"/>
          <w:lang w:val="en-GB"/>
        </w:rPr>
        <w:t xml:space="preserve"> Clinic staff are trained in the measurement procedures by the study team, and in SEBIA and motivational interviewing by an expert psychologist and a doctoral researcher. Both components are tailored: the offloading target is defined against the participant's own pressure without the orthosis, and SEBIA content from step 3 onwards addresses the participant's own barriers. No criteria for changing intervention intensity are pre-specified. In-shoe pressure measurement has been evaluated in routine footwear practice, with identified facilitators and barriers </w:t>
      </w:r>
      <w:sdt>
        <w:sdtPr>
          <w:tag w:val="CITATION ZwaferinkJ24"/>
          <w:id w:val="1955309839"/>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(34)</w:t>
          </w:r>
          <w:r>
            <w:fldChar w:fldCharType="end"/>
          </w:r>
        </w:sdtContent>
      </w:sdt>
      <w:r>
        <w:rPr>
          <w:color w:val="000000"/>
          <w:lang w:val="en-GB"/>
        </w:rPr>
        <w:t xml:space="preserve">, and in a comparable population a three-component programme did not increase wearing time at 3 months overall, although wearing time rose after indoor footwear was provided </w:t>
      </w:r>
      <w:sdt>
        <w:sdtPr>
          <w:tag w:val="CITATION NettenJ25"/>
          <w:id w:val="1528080767"/>
          <w:citation/>
        </w:sdtPr>
        <w:sdtEndPr/>
        <w:sdtContent>
          <w:r>
            <w:fldChar w:fldCharType="begin"/>
          </w:r>
          <w:r w:rsidRPr="0065684E">
            <w:rPr>
              <w:lang w:val="en-GB"/>
            </w:rPr>
            <w:instrText xml:space="preserve"> CITATION NettenJ25 \l 1033 </w:instrText>
          </w:r>
          <w:r>
            <w:fldChar w:fldCharType="separate"/>
          </w:r>
          <w:r w:rsidRPr="0065684E">
            <w:rPr>
              <w:noProof/>
              <w:lang w:val="en-GB"/>
            </w:rPr>
            <w:t>(35)</w:t>
          </w:r>
          <w:r>
            <w:fldChar w:fldCharType="end"/>
          </w:r>
        </w:sdtContent>
      </w:sdt>
      <w:r>
        <w:rPr>
          <w:color w:val="000000"/>
          <w:lang w:val="en-GB"/>
        </w:rPr>
        <w:t xml:space="preserve">. Whether clinic teams deliver both components with fidelity is therefore measured in the process evaluation rather than assumed.</w:t>
      </w:r>
    </w:p>
    <w:p>
      <w:pPr>
        <w:rPr>
          <w:lang w:val="en-GB"/>
        </w:rPr>
      </w:pPr>
      <w:r>
        <w:rPr>
          <w:b/>
          <w:bCs/>
          <w:color w:val="000000"/>
          <w:lang w:val="en-GB"/>
        </w:rPr>
        <w:t xml:space="preserve">Concomitant care</w:t>
      </w:r>
      <w:r>
        <w:rPr>
          <w:color w:val="000000"/>
          <w:lang w:val="en-GB"/>
        </w:rPr>
        <w:t xml:space="preserve"> No concomitant care is prohibited. Routine diabetes, vascular and podiatric care continues in both arms, and concomitant medication and healthcare contacts are recorded at every visit.</w:t>
      </w:r>
    </w:p>
    <w:p>
      <w:pPr>
        <w:pStyle w:val="Kop2"/>
        <w:rPr>
          <w:lang w:val="en-GB"/>
        </w:rPr>
      </w:pPr>
      <w:r>
        <w:rPr>
          <w:color w:val="000000"/>
          <w:lang w:val="en-GB"/>
        </w:rPr>
        <w:t xml:space="preserve">Outcomes</w:t>
      </w:r>
    </w:p>
    <w:p>
      <w:pPr>
        <w:rPr>
          <w:lang w:val="en-GB"/>
        </w:rPr>
      </w:pPr>
      <w:r>
        <w:rPr>
          <w:color w:val="000000"/>
          <w:lang w:val="en-GB"/>
        </w:rPr>
        <w:t xml:space="preserve">Definitions, instruments and timepoints are listed in table 3.</w:t>
      </w:r>
    </w:p>
    <w:p>
      <w:pPr>
        <w:rPr>
          <w:lang w:val="en-GB"/>
        </w:rPr>
      </w:pPr>
      <w:r>
        <w:rPr>
          <w:b/>
          <w:bCs/>
          <w:color w:val="000000"/>
          <w:lang w:val="en-GB"/>
        </w:rPr>
        <w:t xml:space="preserve">Primary outcome</w:t>
      </w:r>
      <w:r>
        <w:rPr>
          <w:color w:val="000000"/>
          <w:lang w:val="en-GB"/>
        </w:rPr>
        <w:t xml:space="preserve"> Time to first foot ulcer recurrence over 18 months from randomisation. A foot ulcer is a break of the skin of the foot involving at least the epidermis and part of the dermis </w:t>
      </w:r>
      <w:sdt>
        <w:sdtPr>
          <w:tag w:val="CITATION NettenJ23"/>
          <w:id w:val="820996375"/>
          <w:citation/>
        </w:sdtPr>
        <w:sdtEndPr/>
        <w:sdtContent>
          <w:r>
            <w:fldChar w:fldCharType="begin"/>
          </w:r>
          <w:r w:rsidRPr="0065684E">
            <w:rPr>
              <w:lang w:val="en-GB"/>
            </w:rPr>
            <w:instrText xml:space="preserve"> CITATION NettenJ23 \l 1033 </w:instrText>
          </w:r>
          <w:r>
            <w:fldChar w:fldCharType="separate"/>
          </w:r>
          <w:r w:rsidRPr="0065684E">
            <w:rPr>
              <w:noProof/>
              <w:lang w:val="en-GB"/>
            </w:rPr>
            <w:t>(26)</w:t>
          </w:r>
          <w:r>
            <w:fldChar w:fldCharType="end"/>
          </w:r>
        </w:sdtContent>
      </w:sdt>
      <w:r>
        <w:rPr>
          <w:color w:val="000000"/>
          <w:lang w:val="en-GB"/>
        </w:rPr>
        <w:t xml:space="preserve">; recurrence is a new ulcer at the same or another site of either foot after complete epithelialisation of a previous ulcer. Friction or pressure lesions on the lateral or dorsal foot within 3 weeks of starting new footwear or insoles are not counted. The proportion of participants with at least one recurrence is also reported.</w:t>
      </w:r>
    </w:p>
    <w:p>
      <w:pPr>
        <w:rPr>
          <w:lang w:val="en-GB"/>
        </w:rPr>
      </w:pPr>
      <w:r>
        <w:rPr>
          <w:b/>
          <w:bCs/>
          <w:color w:val="000000"/>
          <w:lang w:val="en-GB"/>
        </w:rPr>
        <w:t xml:space="preserve">Mediator</w:t>
      </w:r>
      <w:r>
        <w:rPr>
          <w:color w:val="000000"/>
          <w:lang w:val="en-GB"/>
        </w:rPr>
        <w:t xml:space="preserve"> Footwear adherence is the percentage of waking time during which the prescribed footwear is worn, across all 7 days of the week, combining Orthotimer wear time with the waking time from the MoveMonitor week at the second visit. It is analysed primarily at 12 months, with the 18-month profile as a secondary summary. A responder analysis at 80% of the individual target is a secondary analysis; the threshold is an operational benchmark drawn from earlier objective adherence studies </w:t>
      </w:r>
      <w:sdt>
        <w:sdtPr>
          <w:tag w:val="CITATION ExterkateS23"/>
          <w:id w:val="677213508"/>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(30,36,37)</w:t>
          </w:r>
          <w:r>
            <w:fldChar w:fldCharType="end"/>
          </w:r>
        </w:sdtContent>
      </w:sdt>
      <w:r>
        <w:rPr>
          <w:color w:val="000000"/>
          <w:lang w:val="en-GB"/>
        </w:rPr>
        <w:t xml:space="preserve">, not a biological cut-off or a success criterion. Adherence is reported in full because the behavioural pathway is the component most likely to fail in routine care; without it, an ineffective service could not be distinguished from one that was never adopted.</w:t>
      </w:r>
    </w:p>
    <w:p>
      <w:pPr>
        <w:rPr>
          <w:lang w:val="en-GB"/>
        </w:rPr>
      </w:pPr>
      <w:r>
        <w:rPr>
          <w:b/>
          <w:bCs/>
          <w:color w:val="000000"/>
          <w:lang w:val="en-GB"/>
        </w:rPr>
        <w:t xml:space="preserve">Secondary outcomes</w:t>
      </w:r>
      <w:r>
        <w:rPr>
          <w:color w:val="000000"/>
          <w:lang w:val="en-GB"/>
        </w:rPr>
        <w:t xml:space="preserve"> Plantar ulcer recurrence; recurrence at the predefined high-risk sites; ulcer-free days; cumulative wear time; in-shoe peak plantar pressure (both arms at baseline and 6 months, intervention arm also at 12 and 18 months); footwear wear-and-tear </w:t>
      </w:r>
      <w:sdt>
        <w:sdtPr>
          <w:tag w:val="CITATION DahmenR18"/>
          <w:id w:val="1849905474"/>
          <w:citation/>
        </w:sdtPr>
        <w:sdtEndPr/>
        <w:sdtContent>
          <w:r>
            <w:fldChar w:fldCharType="begin"/>
          </w:r>
          <w:r w:rsidRPr="0065684E">
            <w:rPr>
              <w:lang w:val="en-GB"/>
            </w:rPr>
            <w:instrText xml:space="preserve"> CITATION DahmenR18 \l 1033 </w:instrText>
          </w:r>
          <w:r>
            <w:fldChar w:fldCharType="separate"/>
          </w:r>
          <w:r w:rsidRPr="0065684E">
            <w:rPr>
              <w:noProof/>
              <w:lang w:val="en-GB"/>
            </w:rPr>
            <w:t>(38)</w:t>
          </w:r>
          <w:r>
            <w:fldChar w:fldCharType="end"/>
          </w:r>
        </w:sdtContent>
      </w:sdt>
      <w:r>
        <w:rPr>
          <w:color w:val="000000"/>
          <w:lang w:val="en-GB"/>
        </w:rPr>
        <w:t xml:space="preserve">; foot-care behaviour (NAFF); self-reported adherence on a visual analogue scale, to quantify self-report bias; health-related quality of life (EQ-5D-5L); and healthcare use and productivity costs. Among participants who ulcerate, time to ulceration, ulcer severity (PEDIS and WIfI) and time to healing are recorded. All eight outcomes of the core outcome set for diabetes-related foot ulceration are captured </w:t>
      </w:r>
      <w:sdt>
        <w:sdtPr>
          <w:tag w:val="CITATION StaniszewskaA24"/>
          <w:id w:val="497144517"/>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(39)</w:t>
          </w:r>
          <w:r>
            <w:fldChar w:fldCharType="end"/>
          </w:r>
        </w:sdtContent>
      </w:sdt>
      <w:r>
        <w:rPr>
          <w:color w:val="000000"/>
          <w:lang w:val="en-GB"/>
        </w:rPr>
        <w:t xml:space="preserve">, amputation and death through adverse event reporting.</w:t>
      </w:r>
    </w:p>
    <w:p>
      <w:pPr>
        <w:rPr>
          <w:lang w:val="en-GB"/>
        </w:rPr>
      </w:pPr>
      <w:r>
        <w:rPr>
          <w:b/>
          <w:bCs/>
          <w:color w:val="000000"/>
          <w:lang w:val="en-GB"/>
        </w:rPr>
        <w:t xml:space="preserve">Exploratory outcome</w:t>
      </w:r>
      <w:r>
        <w:rPr>
          <w:color w:val="000000"/>
          <w:lang w:val="en-GB"/>
        </w:rPr>
        <w:t xml:space="preserve"> Cumulative plantar tissue stress is estimated per participant by combining region-specific in-shoe pressure, weight-bearing activity and wear time, partitioned by whether the prescribed footwear was worn (figure 3). Pressure is measured at up to four sessions (two in usual care) and activity in the week after orthosis delivery, so values are carried forward between measurements; the influence of this approximation is examined by restricting the analysis to the intervals around each measurement.</w:t>
      </w:r>
    </w:p>
    <w:p>
      <w:pPr>
        <w:rPr>
          <w:lang w:val="en-GB"/>
        </w:rPr>
      </w:pPr>
      <w:r>
        <w:rPr>
          <w:b/>
          <w:bCs/>
          <w:color w:val="000000"/>
          <w:lang w:val="en-GB"/>
        </w:rPr>
        <w:t xml:space="preserve">Process outcomes</w:t>
      </w:r>
      <w:r>
        <w:rPr>
          <w:color w:val="000000"/>
          <w:lang w:val="en-GB"/>
        </w:rPr>
        <w:t xml:space="preserve"> Fidelity, dose, reach, adaptations and quality of delivery; acceptability to participants and professionals; mechanisms of impact; and contextual factors.</w:t>
      </w:r>
    </w:p>
    <w:p>
      <w:pPr>
        <w:pStyle w:val="Kop2"/>
        <w:rPr>
          <w:lang w:val="en-GB"/>
        </w:rPr>
      </w:pPr>
      <w:r>
        <w:rPr>
          <w:color w:val="000000"/>
          <w:lang w:val="en-GB"/>
        </w:rPr>
        <w:t xml:space="preserve">Participant timeline and data collection</w:t>
      </w:r>
    </w:p>
    <w:p>
      <w:pPr>
        <w:rPr>
          <w:lang w:val="en-GB"/>
        </w:rPr>
      </w:pPr>
      <w:r>
        <w:rPr>
          <w:color w:val="000000"/>
          <w:lang w:val="en-GB"/>
        </w:rPr>
        <w:t xml:space="preserve">After screening and consent, baseline assessments are completed and the participant is randomised. The orthosis is delivered and the sensor integrated at a second visit 2 weeks to 1 month after baseline, and follow-up visits take place every 3 months up to 18 months, coinciding with the routine podiatric review to which participants are already committed (table 1). Unscheduled visits are possible at any time for a suspected ulcer. Participants receive appointment reminders and travel costs are reimbursed. Data are recorded on paper source documents at the sites and entered by the central study team into a REDCap database under a pseudonymous code. Sensor completeness is monitored as a trial metric, because earlier attempts to measure cumulative tissue stress failed on incomplete data </w:t>
      </w:r>
      <w:sdt>
        <w:sdtPr>
          <w:tag w:val="CITATION HulshofC24"/>
          <w:id w:val="1332037546"/>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(15)</w:t>
          </w:r>
          <w:r>
            <w:fldChar w:fldCharType="end"/>
          </w:r>
        </w:sdtContent>
      </w:sdt>
      <w:r>
        <w:rPr>
          <w:color w:val="000000"/>
          <w:lang w:val="en-GB"/>
        </w:rPr>
        <w:t xml:space="preserve">: completeness below 70% at a site triggers retraining and, if needed, replacement of devices. Baseline characteristics follow the core descriptor set for this field </w:t>
      </w:r>
      <w:sdt>
        <w:sdtPr>
          <w:tag w:val="CITATION StaniszewskaA26"/>
          <w:id w:val="310346685"/>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(40)</w:t>
          </w:r>
          <w:r>
            <w:fldChar w:fldCharType="end"/>
          </w:r>
        </w:sdtContent>
      </w:sdt>
      <w:r>
        <w:rPr>
          <w:color w:val="000000"/>
          <w:lang w:val="en-GB"/>
        </w:rPr>
        <w:t xml:space="preserve">. Participants who stop the intervention are invited to continue follow-up; those who decline are asked to allow ulcer status to be retrieved from medical records.</w:t>
      </w:r>
    </w:p>
    <w:p>
      <w:pPr>
        <w:pStyle w:val="Kop2"/>
        <w:rPr>
          <w:lang w:val="en-GB"/>
        </w:rPr>
      </w:pPr>
      <w:r>
        <w:rPr>
          <w:color w:val="000000"/>
          <w:lang w:val="en-GB"/>
        </w:rPr>
        <w:t xml:space="preserve">Sample size</w:t>
      </w:r>
    </w:p>
    <w:p>
      <w:pPr>
        <w:rPr>
          <w:lang w:val="en-GB"/>
        </w:rPr>
      </w:pPr>
      <w:r>
        <w:rPr>
          <w:color w:val="000000"/>
          <w:lang w:val="en-GB"/>
        </w:rPr>
        <w:t xml:space="preserve">Assuming exponential times to recurrence, we expect an 18-month recurrence of 50% under usual care and 25% under PARADISE (hazard ratio 0.42). The contrast reflects the adherent subgroup of the DIAFOS trial (47.8% versus 25.7%) rather than its intention-to-treat comparison (44.2% versus 38.8%) </w:t>
      </w:r>
      <w:sdt>
        <w:sdtPr>
          <w:tag w:val="CITATION BusS13"/>
          <w:id w:val="175001616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and is defensible only under our causal hypothesis that SEBIA brings non-adherent participants to the adherence of that subgroup. The usual-care rate is set slightly above 44.2% because PARADISE also includes participants with a minor amputation. With a two-sided log-rank test, α of 0.05 and 80% power, 41 events are required, corresponding to 108 participants, or 127 after allowing for 15% attrition. We will include 144 participants, 24 per centre, for balanced recruitment. With 122 analysable participants, power is 84% (90% with complete follow-up), falling to 64%, 52% and 40% if recurrence under PARADISE is 30%, 32.5% and 35% (online supplemental file 5). The trial can therefore detect the hypothesised effect but not reliably half of it, and results will be interpreted through confidence intervals. For the mediator, a usual-care adherence of 71% (SD 25%) </w:t>
      </w:r>
      <w:sdt>
        <w:sdtPr>
          <w:tag w:val="CITATION WaaijmanR13"/>
          <w:id w:val="889742455"/>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(32)</w:t>
          </w:r>
          <w:r>
            <w:fldChar w:fldCharType="end"/>
          </w:r>
        </w:sdtContent>
      </w:sdt>
      <w:r>
        <w:rPr>
          <w:color w:val="000000"/>
          <w:lang w:val="en-GB"/>
        </w:rPr>
        <w:t xml:space="preserve"> and an increase to 85% </w:t>
      </w:r>
      <w:sdt>
        <w:sdtPr>
          <w:tag w:val="CITATION KeukenkampR22"/>
          <w:id w:val="1432958705"/>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(41)</w:t>
          </w:r>
          <w:r>
            <w:fldChar w:fldCharType="end"/>
          </w:r>
        </w:sdtContent>
      </w:sdt>
      <w:r>
        <w:rPr>
          <w:color w:val="000000"/>
          <w:lang w:val="en-GB"/>
        </w:rPr>
        <w:t xml:space="preserve"> (standardised difference 0.56) would be detected with 80% power with 50 participants per arm. Attrition is monitored against the 15% assumption, with recruitment extended if it is exceeded.</w:t>
      </w:r>
    </w:p>
    <w:p>
      <w:pPr>
        <w:pStyle w:val="Kop2"/>
        <w:rPr>
          <w:lang w:val="en-GB"/>
        </w:rPr>
      </w:pPr>
      <w:r>
        <w:rPr>
          <w:color w:val="000000"/>
          <w:lang w:val="en-GB"/>
        </w:rPr>
        <w:t xml:space="preserve">Statistical analysis</w:t>
      </w:r>
    </w:p>
    <w:p>
      <w:pPr>
        <w:rPr>
          <w:lang w:val="en-GB"/>
        </w:rPr>
      </w:pPr>
      <w:r>
        <w:rPr>
          <w:color w:val="000000"/>
          <w:lang w:val="en-GB"/>
        </w:rPr>
        <w:t xml:space="preserve">A statistical analysis plan following ICH E9 and its estimand addendum </w:t>
      </w:r>
      <w:sdt>
        <w:sdtPr>
          <w:tag w:val="CITATION ICHE9"/>
          <w:id w:val="181304479"/>
          <w:citation/>
        </w:sdtPr>
        <w:sdtEndPr/>
        <w:sdtContent>
          <w:r>
            <w:fldChar w:fldCharType="begin"/>
          </w:r>
          <w:r w:rsidRPr="0065684E">
            <w:rPr>
              <w:lang w:val="en-GB"/>
            </w:rPr>
            <w:instrText xml:space="preserve"> CITATION ICHE9 \m IonanA22 \l 1033 </w:instrText>
          </w:r>
          <w:r>
            <w:fldChar w:fldCharType="separate"/>
          </w:r>
          <w:r w:rsidRPr="0065684E">
            <w:rPr>
              <w:noProof/>
              <w:lang w:val="en-GB"/>
            </w:rPr>
            <w:t>(42,43)</w:t>
          </w:r>
          <w:r>
            <w:fldChar w:fldCharType="end"/>
          </w:r>
        </w:sdtContent>
      </w:sdt>
      <w:r>
        <w:rPr>
          <w:color w:val="000000"/>
          <w:lang w:val="en-GB"/>
        </w:rPr>
        <w:t xml:space="preserve"> will be finalised and deposited before database lock. The primary population is intention-to-treat </w:t>
      </w:r>
      <w:sdt>
        <w:sdtPr>
          <w:tag w:val="CITATION GuptaS11"/>
          <w:id w:val="1352810746"/>
          <w:citation/>
        </w:sdtPr>
        <w:sdtEndPr/>
        <w:sdtContent>
          <w:r>
            <w:fldChar w:fldCharType="begin"/>
          </w:r>
          <w:r w:rsidRPr="0065684E">
            <w:rPr>
              <w:lang w:val="en-GB"/>
            </w:rPr>
            <w:instrText xml:space="preserve"> CITATION GuptaS11 \l 1033 </w:instrText>
          </w:r>
          <w:r>
            <w:fldChar w:fldCharType="separate"/>
          </w:r>
          <w:r w:rsidRPr="0065684E">
            <w:rPr>
              <w:noProof/>
              <w:lang w:val="en-GB"/>
            </w:rPr>
            <w:t>(44)</w:t>
          </w:r>
          <w:r>
            <w:fldChar w:fldCharType="end"/>
          </w:r>
        </w:sdtContent>
      </w:sdt>
      <w:r>
        <w:rPr>
          <w:color w:val="000000"/>
          <w:lang w:val="en-GB"/>
        </w:rPr>
        <w:t xml:space="preserve">; a per-protocol population, defined blind to outcome, supports sensitivity analyses.</w:t>
      </w:r>
    </w:p>
    <w:p>
      <w:pPr>
        <w:rPr>
          <w:lang w:val="en-GB"/>
        </w:rPr>
      </w:pPr>
      <w:r>
        <w:rPr>
          <w:b/>
          <w:bCs/>
          <w:color w:val="000000"/>
          <w:lang w:val="en-GB"/>
        </w:rPr>
        <w:t xml:space="preserve">Estimands</w:t>
      </w:r>
      <w:r>
        <w:rPr>
          <w:color w:val="000000"/>
          <w:lang w:val="en-GB"/>
        </w:rPr>
        <w:t xml:space="preserve"> For the primary estimand, death before ulceration is handled as a competing event and discontinuation of the intervention by a treatment-policy strategy. For the adherence estimand, ulceration is an intercurrent event: a participant who ulcerates usually moves to another offloading device, so wearing the orthosis is no longer appropriate. Adherence is therefore estimated under a hypothetical strategy, censoring wear time at ulceration, with a while-on-treatment strategy as sensitivity analysis; ignoring this would understate adherence in the arm with more ulcers.</w:t>
      </w:r>
    </w:p>
    <w:p>
      <w:pPr>
        <w:rPr>
          <w:lang w:val="en-GB"/>
        </w:rPr>
      </w:pPr>
      <w:r>
        <w:rPr>
          <w:b/>
          <w:bCs/>
          <w:color w:val="000000"/>
          <w:lang w:val="en-GB"/>
        </w:rPr>
        <w:t xml:space="preserve">Primary analysis</w:t>
      </w:r>
      <w:r>
        <w:rPr>
          <w:color w:val="000000"/>
          <w:lang w:val="en-GB"/>
        </w:rPr>
        <w:t xml:space="preserve"> Time to first recurrence is analysed with a Cox model stratified by centre, with allocation as the only covariate; the cause-specific hazard ratio with 95% CI is the primary estimate. Cumulative incidence functions and a Fine–Gray model describe the absolute risk with death as competing event. Proportional hazards are checked with scaled Schoenfeld residuals; if violated, the difference in restricted mean survival time at 18 months becomes the primary estimate. A Weibull model examines departure from the constant hazard assumed in the sample size. With a single primary endpoint, no multiplicity adjustment is needed for the primary comparison; all other analyses are reported with confidence intervals and are not used to declare the trial positive.</w:t>
      </w:r>
    </w:p>
    <w:p>
      <w:pPr>
        <w:rPr>
          <w:lang w:val="en-GB"/>
        </w:rPr>
      </w:pPr>
      <w:r>
        <w:rPr>
          <w:b/>
          <w:bCs/>
          <w:color w:val="000000"/>
          <w:lang w:val="en-GB"/>
        </w:rPr>
        <w:t xml:space="preserve">Adherence and mediation</w:t>
      </w:r>
      <w:r>
        <w:rPr>
          <w:color w:val="000000"/>
          <w:lang w:val="en-GB"/>
        </w:rPr>
        <w:t xml:space="preserve"> Adherence at 12 months is compared between arms with beta regression adjusted for centre, reporting the marginal difference with 95% CI; linear regression with robust standard errors is a sensitivity analysis. Trajectories over 18 months are modelled with mixed-effects models with participants nested in centres. </w:t>
      </w:r>
      <w:commentRangeStart w:id="3"/>
      <w:r>
        <w:rPr>
          <w:color w:val="000000"/>
          <w:lang w:val="en-GB"/>
        </w:rPr>
        <w:t xml:space="preserve">Mediation is analysed within the counterfactual framework</w:t>
      </w:r>
      <w:commentRangeEnd w:id="3"/>
      <w:r>
        <w:rPr>
          <w:rStyle w:val="Verwijzingopmerking"/>
        </w:rPr>
        <w:commentReference w:id="3"/>
      </w:r>
      <w:r>
        <w:rPr>
          <w:color w:val="000000"/>
          <w:lang w:val="en-GB"/>
        </w:rPr>
        <w:t xml:space="preserve">, estimating the natural indirect effect of allocation on recurrence through adherence, with adherence before each event treated as time-varying and sensitivity analyses for unmeasured mediator–outcome confounding </w:t>
      </w:r>
      <w:sdt>
        <w:sdtPr>
          <w:tag w:val="CITATION VanderWeeleT16"/>
          <w:id w:val="938092982"/>
          <w:citation/>
        </w:sdtPr>
        <w:sdtEndPr/>
        <w:sdtContent>
          <w:r>
            <w:fldChar w:fldCharType="begin"/>
          </w:r>
          <w:r w:rsidRPr="0065684E">
            <w:rPr>
              <w:lang w:val="en-GB"/>
            </w:rPr>
            <w:instrText xml:space="preserve"> CITATION VanderWeeleT16 \l 1033 </w:instrText>
          </w:r>
          <w:r>
            <w:fldChar w:fldCharType="separate"/>
          </w:r>
          <w:r w:rsidRPr="0065684E">
            <w:rPr>
              <w:noProof/>
              <w:lang w:val="en-GB"/>
            </w:rPr>
            <w:t>(45)</w:t>
          </w:r>
          <w:r>
            <w:fldChar w:fldCharType="end"/>
          </w:r>
        </w:sdtContent>
      </w:sdt>
      <w:r>
        <w:rPr>
          <w:color w:val="000000"/>
          <w:lang w:val="en-GB"/>
        </w:rPr>
        <w:t xml:space="preserve">. Because adherence is not randomised, the mediation analysis is supportive, not confirmatory.</w:t>
      </w:r>
    </w:p>
    <w:p>
      <w:pPr>
        <w:rPr>
          <w:lang w:val="en-GB"/>
        </w:rPr>
      </w:pPr>
      <w:r>
        <w:rPr>
          <w:b/>
          <w:bCs/>
          <w:color w:val="000000"/>
          <w:lang w:val="en-GB"/>
        </w:rPr>
        <w:t xml:space="preserve">Secondary and subgroup analyses</w:t>
      </w:r>
      <w:r>
        <w:rPr>
          <w:color w:val="000000"/>
          <w:lang w:val="en-GB"/>
        </w:rPr>
        <w:t xml:space="preserve"> Binary outcomes are analysed by logistic regression, continuous outcomes by linear or rank-based methods and time-to-event outcomes as the primary outcome, all adjusted for centre. Four subgroups are pre-specified and tested by interaction: diabetes type, minor amputation versus healed ulcer only, </w:t>
      </w:r>
      <w:commentRangeStart w:id="4"/>
      <w:r>
        <w:rPr>
          <w:color w:val="000000"/>
          <w:lang w:val="en-GB"/>
        </w:rPr>
        <w:t xml:space="preserve">limited versus sufficient health literacy at baseline</w:t>
      </w:r>
      <w:commentRangeEnd w:id="4"/>
      <w:r>
        <w:rPr>
          <w:rStyle w:val="Verwijzingopmerking"/>
        </w:rPr>
        <w:commentReference w:id="4"/>
      </w:r>
      <w:r>
        <w:rPr>
          <w:color w:val="000000"/>
          <w:lang w:val="en-GB"/>
        </w:rPr>
        <w:t xml:space="preserve">, and academic versus non-academic centre. Agreement between sensor-based and self-reported adherence, and between the waking-time and step-based definitions in the week of concurrent recording, is assessed with Bland–Altman analysis.</w:t>
      </w:r>
    </w:p>
    <w:p>
      <w:pPr>
        <w:rPr>
          <w:lang w:val="en-GB"/>
        </w:rPr>
      </w:pPr>
      <w:r>
        <w:rPr>
          <w:b/>
          <w:bCs/>
          <w:color w:val="000000"/>
          <w:lang w:val="en-GB"/>
        </w:rPr>
        <w:t xml:space="preserve">Exploratory analysis</w:t>
      </w:r>
      <w:r>
        <w:rPr>
          <w:color w:val="000000"/>
          <w:lang w:val="en-GB"/>
        </w:rPr>
        <w:t xml:space="preserve"> The association between cumulative plantar tissue stress and recurrence is examined in both arms combined with a Cox model including stress as a time-varying covariate, adjusted for allocation, centre and baseline pressure, with restricted cubic splines to allow a threshold. The analysis is limited to participants with adequate sensor coverage, and that coverage is reported.</w:t>
      </w:r>
    </w:p>
    <w:p>
      <w:pPr>
        <w:rPr>
          <w:lang w:val="en-GB"/>
        </w:rPr>
      </w:pPr>
      <w:r>
        <w:rPr>
          <w:b/>
          <w:bCs/>
          <w:color w:val="000000"/>
          <w:lang w:val="en-GB"/>
        </w:rPr>
        <w:t xml:space="preserve">Missing data</w:t>
      </w:r>
      <w:r>
        <w:rPr>
          <w:color w:val="000000"/>
          <w:lang w:val="en-GB"/>
        </w:rPr>
        <w:t xml:space="preserve"> The primary analysis assumes missing at random. Missing values are handled by multiple imputation by chained equations (50 datasets; allocation, centre, age, sex, diabetes duration, baseline pressure, ulcer history and observed adherence), combined with Rubin's rules, with a complete-case analysis alongside. Tipping-point analyses assess how strong a departure from missing at random would be needed to change the conclusion.</w:t>
      </w:r>
    </w:p>
    <w:p>
      <w:pPr>
        <w:pStyle w:val="Kop2"/>
        <w:rPr>
          <w:lang w:val="en-GB"/>
        </w:rPr>
      </w:pPr>
      <w:r>
        <w:rPr>
          <w:color w:val="000000"/>
          <w:lang w:val="en-GB"/>
        </w:rPr>
        <w:t xml:space="preserve">Health economic evaluation</w:t>
      </w:r>
    </w:p>
    <w:p>
      <w:pPr>
        <w:rPr>
          <w:lang w:val="en-GB"/>
        </w:rPr>
      </w:pPr>
      <w:r>
        <w:rPr>
          <w:color w:val="000000"/>
          <w:lang w:val="en-GB"/>
        </w:rPr>
        <w:t xml:space="preserve">Cost-effectiveness has rarely been assessed in ulcer prevention </w:t>
      </w:r>
      <w:sdt>
        <w:sdtPr>
          <w:tag w:val="CITATION NettenJ24"/>
          <w:id w:val="100007187"/>
          <w:citation/>
        </w:sdtPr>
        <w:sdtEndPr/>
        <w:sdtContent>
          <w:r>
            <w:fldChar w:fldCharType="begin"/>
          </w:r>
          <w:r w:rsidRPr="0065684E">
            <w:rPr>
              <w:lang w:val="en-GB"/>
            </w:rPr>
            <w:instrText xml:space="preserve"> CITATION NettenJ24 \l 1033 </w:instrText>
          </w:r>
          <w:r>
            <w:fldChar w:fldCharType="separate"/>
          </w:r>
          <w:r w:rsidRPr="0065684E">
            <w:rPr>
              <w:noProof/>
              <w:lang w:val="en-GB"/>
            </w:rPr>
            <w:t>(46)</w:t>
          </w:r>
          <w:r>
            <w:fldChar w:fldCharType="end"/>
          </w:r>
        </w:sdtContent>
      </w:sdt>
      <w:r>
        <w:rPr>
          <w:color w:val="000000"/>
          <w:lang w:val="en-GB"/>
        </w:rPr>
        <w:t xml:space="preserve">. The only economic evaluation of pressure-guided footwear found it likely to be cost-saving once ulcer treatment costs were counted, but took a partial healthcare perspective, expressed effects as ulcers prevented and was confined to 18 months </w:t>
      </w:r>
      <w:sdt>
        <w:sdtPr>
          <w:tag w:val="CITATION BusS26"/>
          <w:id w:val="1745638444"/>
          <w:citation/>
        </w:sdtPr>
        <w:sdtEndPr/>
        <w:sdtContent>
          <w:r>
            <w:fldChar w:fldCharType="begin"/>
          </w:r>
          <w:r w:rsidRPr="0065684E">
            <w:rPr>
              <w:lang w:val="en-GB"/>
            </w:rPr>
            <w:instrText xml:space="preserve"> CITATION BusS26 \l 1033 </w:instrText>
          </w:r>
          <w:r>
            <w:fldChar w:fldCharType="separate"/>
          </w:r>
          <w:r w:rsidRPr="0065684E">
            <w:rPr>
              <w:noProof/>
              <w:lang w:val="en-GB"/>
            </w:rPr>
            <w:t>(47)</w:t>
          </w:r>
          <w:r>
            <w:fldChar w:fldCharType="end"/>
          </w:r>
        </w:sdtContent>
      </w:sdt>
      <w:r>
        <w:rPr>
          <w:color w:val="000000"/>
          <w:lang w:val="en-GB"/>
        </w:rPr>
        <w:t xml:space="preserve">. The evaluation in PARADISE addresses these limitations. A trial-based cost-utility analysis over 18 months takes the healthcare payer perspective, with a societal perspective in sensitivity analysis, and follows CHEERS 2022 </w:t>
      </w:r>
      <w:sdt>
        <w:sdtPr>
          <w:tag w:val="CITATION HusereauD22"/>
          <w:id w:val="1642794211"/>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(48)</w:t>
          </w:r>
          <w:r>
            <w:fldChar w:fldCharType="end"/>
          </w:r>
        </w:sdtContent>
      </w:sdt>
      <w:r>
        <w:rPr>
          <w:color w:val="000000"/>
          <w:lang w:val="en-GB"/>
        </w:rPr>
        <w:t xml:space="preserve">. Quality-adjusted life years (QALYs) are derived from the EQ-5D-5L with the Belgian value set </w:t>
      </w:r>
      <w:sdt>
        <w:sdtPr>
          <w:tag w:val="CITATION BouckaertN22"/>
          <w:id w:val="860702318"/>
          <w:citation/>
        </w:sdtPr>
        <w:sdtEndPr/>
        <w:sdtContent>
          <w:r>
            <w:fldChar w:fldCharType="begin"/>
          </w:r>
          <w:r w:rsidRPr="0065684E">
            <w:rPr>
              <w:lang w:val="en-GB"/>
            </w:rPr>
            <w:instrText xml:space="preserve"> CITATION BouckaertN22 \l 1033 </w:instrText>
          </w:r>
          <w:r>
            <w:fldChar w:fldCharType="separate"/>
          </w:r>
          <w:r w:rsidRPr="0065684E">
            <w:rPr>
              <w:noProof/>
              <w:lang w:val="en-GB"/>
            </w:rPr>
            <w:t>(49)</w:t>
          </w:r>
          <w:r>
            <w:fldChar w:fldCharType="end"/>
          </w:r>
        </w:sdtContent>
      </w:sdt>
      <w:r>
        <w:rPr>
          <w:color w:val="000000"/>
          <w:lang w:val="en-GB"/>
        </w:rPr>
        <w:t xml:space="preserve">; the incremental cost-utility ratio is the primary economic outcome, and cost per ulcer prevented is reported alongside it. Resource use is collected prospectively with the iMTA Medical Consumption and Productivity Cost Questionnaires, a patient diary and medical records, and valued with standard reference prices </w:t>
      </w:r>
      <w:sdt>
        <w:sdtPr>
          <w:tag w:val="CITATION RoijenL24"/>
          <w:id w:val="1959925740"/>
          <w:citation/>
        </w:sdtPr>
        <w:sdtEndPr/>
        <w:sdtContent>
          <w:r>
            <w:fldChar w:fldCharType="begin"/>
          </w:r>
          <w:r w:rsidRPr="0065684E">
            <w:rPr>
              <w:lang w:val="en-GB"/>
            </w:rPr>
            <w:instrText xml:space="preserve"> CITATION RoijenL24 \l 1033 </w:instrText>
          </w:r>
          <w:r>
            <w:fldChar w:fldCharType="separate"/>
          </w:r>
          <w:r w:rsidRPr="0065684E">
            <w:rPr>
              <w:noProof/>
              <w:lang w:val="en-GB"/>
            </w:rPr>
            <w:t>(50)</w:t>
          </w:r>
          <w:r>
            <w:fldChar w:fldCharType="end"/>
          </w:r>
        </w:sdtContent>
      </w:sdt>
      <w:r>
        <w:rPr>
          <w:color w:val="000000"/>
          <w:lang w:val="en-GB"/>
        </w:rPr>
        <w:t xml:space="preserve">; ulcer treatment costs are therefore observed, with published estimates </w:t>
      </w:r>
      <w:sdt>
        <w:sdtPr>
          <w:tag w:val="CITATION PrompersL082"/>
          <w:id w:val="801803623"/>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(51)</w:t>
          </w:r>
          <w:r>
            <w:fldChar w:fldCharType="end"/>
          </w:r>
        </w:sdtContent>
      </w:sdt>
      <w:r>
        <w:rPr>
          <w:color w:val="000000"/>
          <w:lang w:val="en-GB"/>
        </w:rPr>
        <w:t xml:space="preserve"> used only in sensitivity analysis. A Markov model with the states ulcer-free, active ulcer, healed, minor amputation, major amputation and death extrapolates to five years, with transition probabilities from trial data where available. Costs and effects beyond 12 months are discounted following Belgian guidance, and uncertainty is explored in deterministic and probabilistic sensitivity analyses (10 000 Monte Carlo iterations), presented as cost-effectiveness planes and acceptability curves.</w:t>
      </w:r>
    </w:p>
    <w:p>
      <w:pPr>
        <w:pStyle w:val="Kop2"/>
        <w:rPr>
          <w:lang w:val="en-GB"/>
        </w:rPr>
      </w:pPr>
      <w:r>
        <w:rPr>
          <w:color w:val="000000"/>
          <w:lang w:val="en-GB"/>
        </w:rPr>
        <w:t xml:space="preserve">Process evaluation</w:t>
      </w:r>
    </w:p>
    <w:p>
      <w:pPr>
        <w:rPr>
          <w:lang w:val="en-GB"/>
        </w:rPr>
      </w:pPr>
      <w:r>
        <w:rPr>
          <w:color w:val="000000"/>
          <w:lang w:val="en-GB"/>
        </w:rPr>
        <w:t xml:space="preserve">The process evaluation follows the Medical Research Council guidance </w:t>
      </w:r>
      <w:sdt>
        <w:sdtPr>
          <w:tag w:val="CITATION MooreG15"/>
          <w:id w:val="1150589512"/>
          <w:citation/>
        </w:sdtPr>
        <w:sdtEndPr/>
        <w:sdtContent>
          <w:r>
            <w:fldChar w:fldCharType="begin"/>
          </w:r>
          <w:r w:rsidRPr="0065684E">
            <w:rPr>
              <w:lang w:val="en-GB"/>
            </w:rPr>
            <w:instrText xml:space="preserve"> CITATION MooreG15 \l 1033 </w:instrText>
          </w:r>
          <w:r>
            <w:fldChar w:fldCharType="separate"/>
          </w:r>
          <w:r w:rsidRPr="0065684E">
            <w:rPr>
              <w:noProof/>
              <w:lang w:val="en-GB"/>
            </w:rPr>
            <w:t>(52)</w:t>
          </w:r>
          <w:r>
            <w:fldChar w:fldCharType="end"/>
          </w:r>
        </w:sdtContent>
      </w:sdt>
      <w:r>
        <w:rPr>
          <w:color w:val="000000"/>
          <w:lang w:val="en-GB"/>
        </w:rPr>
        <w:t xml:space="preserve"> and is structured by a logic model (figure 4). It examines implementation (fidelity, dose, reach, adaptations and quality), mechanisms of impact and context. Data comprise semi-structured interviews with participants, clinicians and managers, sampled across arms, sites and adherence trajectories; observation of SEBIA sessions; therapist diaries; and protocol-deviation records. Quantitative indicators (sessions delivered, session duration, pressure reduction achieved and sensor completeness) are summarised by site. Qualitative data are analysed deductively against the logic model and inductively for unanticipated findings. Process data are related to trial outcomes only after the primary analysis; in the event of a null result, they show whether the mechanisms failed or the components were not delivered as intended </w:t>
      </w:r>
      <w:sdt>
        <w:sdtPr>
          <w:tag w:val="CITATION MayC16"/>
          <w:id w:val="1343269043"/>
          <w:citation/>
        </w:sdtPr>
        <w:sdtEndPr/>
        <w:sdtContent>
          <w:r>
            <w:fldChar w:fldCharType="begin"/>
          </w:r>
          <w:r w:rsidRPr="0065684E">
            <w:rPr>
              <w:lang w:val="en-GB"/>
            </w:rPr>
            <w:instrText xml:space="preserve"> CITATION MayC16 \l 1033 </w:instrText>
          </w:r>
          <w:r>
            <w:fldChar w:fldCharType="separate"/>
          </w:r>
          <w:r w:rsidRPr="0065684E">
            <w:rPr>
              <w:noProof/>
              <w:lang w:val="en-GB"/>
            </w:rPr>
            <w:t>(53)</w:t>
          </w:r>
          <w:r>
            <w:fldChar w:fldCharType="end"/>
          </w:r>
        </w:sdtContent>
      </w:sdt>
      <w:r>
        <w:rPr>
          <w:color w:val="000000"/>
          <w:lang w:val="en-GB"/>
        </w:rPr>
        <w:t xml:space="preserve">.</w:t>
      </w:r>
    </w:p>
    <w:p>
      <w:pPr>
        <w:pStyle w:val="Kop2"/>
        <w:rPr>
          <w:lang w:val="en-GB"/>
        </w:rPr>
      </w:pPr>
      <w:r>
        <w:rPr>
          <w:color w:val="000000"/>
          <w:lang w:val="en-GB"/>
        </w:rPr>
        <w:t xml:space="preserve">Data management, monitoring and safety</w:t>
      </w:r>
    </w:p>
    <w:p>
      <w:pPr>
        <w:rPr>
          <w:lang w:val="en-GB"/>
        </w:rPr>
      </w:pPr>
      <w:r>
        <w:rPr>
          <w:color w:val="000000"/>
          <w:lang w:val="en-GB"/>
        </w:rPr>
        <w:t xml:space="preserve">A data management plan specifies data flows, validation checks and database lock. Pseudonymised data are transferred only by secure methods under data transfer agreements </w:t>
      </w:r>
      <w:sdt>
        <w:sdtPr>
          <w:tag w:val="CITATION GDPR16"/>
          <w:id w:val="1604675773"/>
          <w:citation/>
        </w:sdtPr>
        <w:sdtEndPr/>
        <w:sdtContent>
          <w:r>
            <w:fldChar w:fldCharType="begin"/>
          </w:r>
          <w:r w:rsidRPr="0065684E">
            <w:rPr>
              <w:lang w:val="en-GB"/>
            </w:rPr>
            <w:instrText xml:space="preserve"> CITATION GDPR16 \l 1033 </w:instrText>
          </w:r>
          <w:r>
            <w:fldChar w:fldCharType="separate"/>
          </w:r>
          <w:r w:rsidRPr="0065684E">
            <w:rPr>
              <w:noProof/>
              <w:lang w:val="en-GB"/>
            </w:rPr>
            <w:t>(54)</w:t>
          </w:r>
          <w:r>
            <w:fldChar w:fldCharType="end"/>
          </w:r>
        </w:sdtContent>
      </w:sdt>
      <w:r>
        <w:rPr>
          <w:color w:val="000000"/>
          <w:lang w:val="en-GB"/>
        </w:rPr>
        <w:t xml:space="preserve">, and trial documents are archived for 25 years. The University Hospitals Leuven Clinical Trial Center classified the investigation as intermediate risk because the custom-made orthosis carries no CE mark; a qualified monitor performs risk-based central monitoring of recruitment, consent, deviations, completeness, envelope integrity and safety reporting, with on-site monitoring triggered by predefined thresholds </w:t>
      </w:r>
      <w:sdt>
        <w:sdtPr>
          <w:tag w:val="CITATION ICHE6R3"/>
          <w:id w:val="672458069"/>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(55,56)</w:t>
          </w:r>
          <w:r>
            <w:fldChar w:fldCharType="end"/>
          </w:r>
        </w:sdtContent>
      </w:sdt>
      <w:r>
        <w:rPr>
          <w:color w:val="000000"/>
          <w:lang w:val="en-GB"/>
        </w:rPr>
        <w:t xml:space="preserve">. A steering group of the coordinating investigator, the doctoral researchers, the six site principal investigators, the psychologist and the health economist oversees the trial. No independent data monitoring committee is constituted, because the intervention is non-invasive and adds to unchanged guideline-based care </w:t>
      </w:r>
      <w:sdt>
        <w:sdtPr>
          <w:tag w:val="CITATION EMADMC05"/>
          <w:id w:val="1268312500"/>
          <w:citation/>
        </w:sdtPr>
        <w:sdtEndPr/>
        <w:sdtContent>
          <w:r>
            <w:fldChar w:fldCharType="begin"/>
          </w:r>
          <w:r w:rsidRPr="0065684E">
            <w:rPr>
              <w:lang w:val="en-GB"/>
            </w:rPr>
            <w:instrText xml:space="preserve"> CITATION EMADMC05 \l 1033 </w:instrText>
          </w:r>
          <w:r>
            <w:fldChar w:fldCharType="separate"/>
          </w:r>
          <w:r w:rsidRPr="0065684E">
            <w:rPr>
              <w:noProof/>
              <w:lang w:val="en-GB"/>
            </w:rPr>
            <w:t>(57)</w:t>
          </w:r>
          <w:r>
            <w:fldChar w:fldCharType="end"/>
          </w:r>
        </w:sdtContent>
      </w:sdt>
      <w:r>
        <w:rPr>
          <w:color w:val="000000"/>
          <w:lang w:val="en-GB"/>
        </w:rPr>
        <w:t xml:space="preserve">, and no interim efficacy analysis is planned. Instead, the coordinating and site investigators review cumulative ulceration and amputation by arm every 6 months; an independent review is convened, and the ethics committee informed, if the one-sided 95% confidence interval of the difference in cumulative incidence (Aalen–Johansen, death as competing event) excludes zero to the disadvantage of PARADISE. Adverse events, adverse device effects and device deficiencies are recorded at every visit and reported according to ISO 14155 and MDCG guidance </w:t>
      </w:r>
      <w:sdt>
        <w:sdtPr>
          <w:tag w:val="CITATION ISO14155"/>
          <w:id w:val="751880259"/>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(56,58)</w:t>
          </w:r>
          <w:r>
            <w:fldChar w:fldCharType="end"/>
          </w:r>
        </w:sdtContent>
      </w:sdt>
      <w:r>
        <w:rPr>
          <w:color w:val="000000"/>
          <w:lang w:val="en-GB"/>
        </w:rPr>
        <w:t xml:space="preserve">. Anticipated device-related events are friction lesions during accommodation, skin irritation and orthosis discomfort. Every ulcer is an outcome event and is also assessed for relatedness to the orthosis.</w:t>
      </w:r>
    </w:p>
    <w:p>
      <w:pPr>
        <w:pStyle w:val="Kop2"/>
        <w:rPr>
          <w:lang w:val="en-GB"/>
        </w:rPr>
      </w:pPr>
      <w:r>
        <w:rPr>
          <w:color w:val="000000"/>
          <w:lang w:val="en-GB"/>
        </w:rPr>
        <w:t xml:space="preserve">Patient and public involvement</w:t>
      </w:r>
    </w:p>
    <w:p>
      <w:pPr>
        <w:rPr>
          <w:lang w:val="en-GB"/>
        </w:rPr>
      </w:pPr>
      <w:commentRangeStart w:id="5"/>
      <w:r>
        <w:rPr>
          <w:color w:val="000000"/>
          <w:lang w:val="en-GB"/>
        </w:rPr>
        <w:t xml:space="preserve">The Diabetes Liga, the Flemish diabetes association</w:t>
      </w:r>
      <w:commentRangeEnd w:id="5"/>
      <w:r>
        <w:rPr>
          <w:rStyle w:val="Verwijzingopmerking"/>
        </w:rPr>
        <w:commentReference w:id="5"/>
      </w:r>
      <w:r>
        <w:rPr>
          <w:color w:val="000000"/>
          <w:lang w:val="en-GB"/>
        </w:rPr>
        <w:t xml:space="preserve">, is represented on the advisory committee by a diabetes expert and a patient expert. During earlier pilot implementation in Belgian clinics, patient feedback on footwear acceptability and the burden of monitoring shaped the sensor-review procedure in SEBIA, and patient representatives reviewed the participant information and consent documents. Participants will receive a plain-language summary of the results, which will also be shared with patient organisations.</w:t>
      </w:r>
    </w:p>
    <w:p>
      <w:pPr>
        <w:pStyle w:val="Kop1"/>
        <w:rPr>
          <w:lang w:val="en-GB"/>
        </w:rPr>
      </w:pPr>
      <w:r>
        <w:rPr>
          <w:color w:val="000000"/>
          <w:lang w:val="en-GB"/>
        </w:rPr>
        <w:t xml:space="preserve">Ethics and dissemination</w:t>
      </w:r>
    </w:p>
    <w:p>
      <w:pPr>
        <w:rPr>
          <w:lang w:val="en-GB"/>
        </w:rPr>
      </w:pPr>
      <w:r>
        <w:rPr>
          <w:color w:val="000000"/>
          <w:lang w:val="en-GB"/>
        </w:rPr>
        <w:t xml:space="preserve">The trial is conducted according to ISO 14155:2020 </w:t>
      </w:r>
      <w:sdt>
        <w:sdtPr>
          <w:tag w:val="CITATION ISO14155"/>
          <w:id w:val="798977314"/>
          <w:citation/>
        </w:sdtPr>
        <w:sdtEndPr/>
        <w:sdtContent>
          <w:r>
            <w:fldChar w:fldCharType="begin"/>
          </w:r>
          <w:r w:rsidRPr="0065684E">
            <w:rPr>
              <w:lang w:val="en-GB"/>
            </w:rPr>
            <w:instrText xml:space="preserve"> CITATION ISO14155 \l 1033 </w:instrText>
          </w:r>
          <w:r>
            <w:fldChar w:fldCharType="separate"/>
          </w:r>
          <w:r w:rsidRPr="0065684E">
            <w:rPr>
              <w:noProof/>
              <w:lang w:val="en-GB"/>
            </w:rPr>
            <w:t>(56)</w:t>
          </w:r>
          <w:r>
            <w:fldChar w:fldCharType="end"/>
          </w:r>
        </w:sdtContent>
      </w:sdt>
      <w:r>
        <w:rPr>
          <w:color w:val="000000"/>
          <w:lang w:val="en-GB"/>
        </w:rPr>
        <w:t xml:space="preserve">, Regulation (EU) 2017/745, Regulation (EU) 2016/679, the Belgian law of 22 December 2020 on medical devices and its royal decree of 18 May 2021, the Belgian law of 22 August 2002 on patient rights and the Declaration of Helsinki </w:t>
      </w:r>
      <w:sdt>
        <w:sdtPr>
          <w:tag w:val="CITATION WMA24"/>
          <w:id w:val="637977624"/>
          <w:citation/>
        </w:sdtPr>
        <w:sdtEndPr/>
        <w:sdtContent>
          <w:r>
            <w:fldChar w:fldCharType="begin"/>
          </w:r>
          <w:r w:rsidRPr="0065684E">
            <w:rPr>
              <w:lang w:val="en-GB"/>
            </w:rPr>
            <w:instrText xml:space="preserve"> CITATION WMA24 \l 1033 </w:instrText>
          </w:r>
          <w:r>
            <w:fldChar w:fldCharType="separate"/>
          </w:r>
          <w:r w:rsidRPr="0065684E">
            <w:rPr>
              <w:noProof/>
              <w:lang w:val="en-GB"/>
            </w:rPr>
            <w:t>(59)</w:t>
          </w:r>
          <w:r>
            <w:fldChar w:fldCharType="end"/>
          </w:r>
        </w:sdtContent>
      </w:sdt>
      <w:r>
        <w:rPr>
          <w:color w:val="000000"/>
          <w:lang w:val="en-GB"/>
        </w:rPr>
        <w:t xml:space="preserve">. The protocol and participant documents are submitted to the Ethics Committee of University Hospitals Leuven as central committee (study number S71769), to the local ethics committees and to the Federal Agency for Medicines and Health Products; no centre recruits before all approvals are in place. Substantial amendments are approved before implementation, and deviations are documented and reported to the sponsor and the ethics committee. Written informed consent is obtained from participants and from participating clinicians (online supplemental file 6). Under the Belgian law of 7 May 2004, the sponsor accepts no-fault liability and is insured accordingly. Participants may withdraw at any time without consequences for their care; data collected until then may be retained and analysed.</w:t>
      </w:r>
    </w:p>
    <w:p>
      <w:pPr>
        <w:rPr>
          <w:lang w:val="en-GB"/>
        </w:rPr>
      </w:pPr>
      <w:r>
        <w:rPr>
          <w:color w:val="000000"/>
          <w:lang w:val="en-GB"/>
        </w:rPr>
        <w:t xml:space="preserve">Participants in the usual-care arm forgo an intervention that the trial hypothesises to be beneficial. This is justified by equipoise: the individual components have not consistently shown benefit </w:t>
      </w:r>
      <w:sdt>
        <w:sdtPr>
          <w:tag w:val="CITATION BusS13"/>
          <w:id w:val="1406147325"/>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both arms receive guideline-based care, and the additional burden is mainly assessment time at existing visits. After the trial, participants keep their orthoses.</w:t>
      </w:r>
    </w:p>
    <w:p>
      <w:pPr>
        <w:rPr>
          <w:lang w:val="en-GB"/>
        </w:rPr>
      </w:pPr>
      <w:r>
        <w:rPr>
          <w:color w:val="000000"/>
          <w:lang w:val="en-GB"/>
        </w:rPr>
        <w:t xml:space="preserve">The main results will be reported in one multicentre publication regardless of their direction, with authorship following ICMJE criteria; sites will not publish subsets before it. Results will be posted in the trial registry within 12 months of the last visit, presented to the RIZIV–INAMI network of diabetic foot clinics and summarised in plain language for participants and patient organisations. The statistical analysis plan will be deposited before database lock.</w:t>
      </w:r>
    </w:p>
    <w:p>
      <w:pPr>
        <w:rPr>
          <w:lang w:val="en-GB"/>
        </w:rPr>
      </w:pPr>
      <w:r>
        <w:rPr>
          <w:b/>
          <w:bCs/>
          <w:color w:val="000000"/>
          <w:lang w:val="en-GB"/>
        </w:rPr>
        <w:t xml:space="preserve">Contributors</w:t>
      </w:r>
      <w:r>
        <w:rPr>
          <w:color w:val="000000"/>
          <w:lang w:val="en-GB"/>
        </w:rPr>
        <w:t xml:space="preserve"> JDB and KD conceived the trial and designed the investigation plan. JDB drafted the protocol and this manuscript, developed the pressure-measurement and adherence-monitoring procedures, and coordinates the trial across sites. KD supervised the biomechanical design and the offloading criteria. FD designed the behavioural intervention and the process evaluation and leads the motivational interviewing training. MF and KP designed the health economic evaluation. All authors critically revised the manuscript and approved the final version. ▮ </w:t>
      </w:r>
      <w:commentRangeStart w:id="6"/>
      <w:r>
        <w:rPr>
          <w:color w:val="000000"/>
          <w:lang w:val="en-GB"/>
        </w:rPr>
        <w:t xml:space="preserve">is the guarantor</w:t>
      </w:r>
      <w:commentRangeEnd w:id="6"/>
      <w:r>
        <w:rPr>
          <w:rStyle w:val="Verwijzingopmerking"/>
        </w:rPr>
        <w:commentReference w:id="6"/>
      </w:r>
      <w:r>
        <w:rPr>
          <w:color w:val="000000"/>
          <w:lang w:val="en-GB"/>
        </w:rPr>
        <w:t xml:space="preserve">.</w:t>
      </w:r>
    </w:p>
    <w:p>
      <w:pPr>
        <w:rPr>
          <w:lang w:val="en-GB"/>
        </w:rPr>
      </w:pPr>
      <w:r>
        <w:rPr>
          <w:b/>
          <w:bCs/>
          <w:color w:val="000000"/>
          <w:lang w:val="en-GB"/>
        </w:rPr>
        <w:t xml:space="preserve">Funding</w:t>
      </w:r>
      <w:r>
        <w:rPr>
          <w:color w:val="000000"/>
          <w:lang w:val="en-GB"/>
        </w:rPr>
        <w:t xml:space="preserve"> This work is supported by the Research Foundation – Flanders (FWO), Applied Biomedical Research programme, grant number T000226N. The funder had no role in the design of the study or in the writing of this protocol. The sponsor is KU Leuven, Department of Rehabilitation Sciences, Spoorwegstraat 12, 8200 Bruges, Belgium, an academic, non-commercial institution.</w:t>
      </w:r>
    </w:p>
    <w:p>
      <w:pPr>
        <w:rPr>
          <w:lang w:val="en-GB"/>
        </w:rPr>
      </w:pPr>
      <w:r>
        <w:rPr>
          <w:b/>
          <w:bCs/>
          <w:color w:val="000000"/>
          <w:lang w:val="en-GB"/>
        </w:rPr>
        <w:t xml:space="preserve">Competing interests</w:t>
      </w:r>
      <w:r>
        <w:rPr>
          <w:color w:val="000000"/>
          <w:lang w:val="en-GB"/>
        </w:rPr>
        <w:t xml:space="preserve"> None declared.</w:t>
      </w:r>
    </w:p>
    <w:p>
      <w:pPr>
        <w:rPr>
          <w:lang w:val="en-GB"/>
        </w:rPr>
      </w:pPr>
      <w:r>
        <w:rPr>
          <w:b/>
          <w:bCs/>
          <w:color w:val="000000"/>
          <w:lang w:val="en-GB"/>
        </w:rPr>
        <w:t xml:space="preserve">Patient and public involvement</w:t>
      </w:r>
      <w:r>
        <w:rPr>
          <w:color w:val="000000"/>
          <w:lang w:val="en-GB"/>
        </w:rPr>
        <w:t xml:space="preserve"> Patients and/or the public were involved in the design, or conduct, or reporting, or dissemination plans of this research. Refer to the Methods section for further details.</w:t>
      </w:r>
    </w:p>
    <w:p>
      <w:pPr>
        <w:rPr>
          <w:lang w:val="en-GB"/>
        </w:rPr>
      </w:pPr>
      <w:r>
        <w:rPr>
          <w:b/>
          <w:bCs/>
          <w:color w:val="000000"/>
          <w:lang w:val="en-GB"/>
        </w:rPr>
        <w:t xml:space="preserve">Patient consent for publication</w:t>
      </w:r>
      <w:r>
        <w:rPr>
          <w:color w:val="000000"/>
          <w:lang w:val="en-GB"/>
        </w:rPr>
        <w:t xml:space="preserve"> Not applicable.</w:t>
      </w:r>
    </w:p>
    <w:p>
      <w:pPr>
        <w:rPr>
          <w:lang w:val="en-GB"/>
        </w:rPr>
      </w:pPr>
      <w:r>
        <w:rPr>
          <w:b/>
          <w:bCs/>
          <w:color w:val="000000"/>
          <w:lang w:val="en-GB"/>
        </w:rPr>
        <w:t xml:space="preserve">Ethics approval</w:t>
      </w:r>
      <w:r>
        <w:rPr>
          <w:color w:val="000000"/>
          <w:lang w:val="en-GB"/>
        </w:rPr>
        <w:t xml:space="preserve"> This study involves human participants and </w:t>
      </w:r>
      <w:commentRangeStart w:id="7"/>
      <w:r>
        <w:rPr>
          <w:color w:val="000000"/>
          <w:lang w:val="en-GB"/>
        </w:rPr>
        <w:t xml:space="preserve">is submitted for approval to the Ethics</w:t>
      </w:r>
      <w:commentRangeEnd w:id="7"/>
      <w:r>
        <w:rPr>
          <w:rStyle w:val="Verwijzingopmerking"/>
        </w:rPr>
        <w:commentReference w:id="7"/>
      </w:r>
      <w:r>
        <w:rPr>
          <w:color w:val="000000"/>
          <w:lang w:val="en-GB"/>
        </w:rPr>
        <w:t xml:space="preserve"> Committee of University Hospitals Leuven (S71769). Participants give informed consent to participate in the study before taking part.</w:t>
      </w:r>
    </w:p>
    <w:p>
      <w:pPr>
        <w:rPr>
          <w:lang w:val="en-GB"/>
        </w:rPr>
      </w:pPr>
      <w:r>
        <w:rPr>
          <w:b/>
          <w:bCs/>
          <w:color w:val="000000"/>
          <w:lang w:val="en-GB"/>
        </w:rPr>
        <w:t xml:space="preserve">Data availability statement</w:t>
      </w:r>
      <w:r>
        <w:rPr>
          <w:color w:val="000000"/>
          <w:lang w:val="en-GB"/>
        </w:rPr>
        <w:t xml:space="preserve"> Data are available upon reasonable request. De-identified individual participant data, including the linked dataset of in-shoe pressure, activity, wear time and ulcer outcomes, may be requested from the corresponding author from 12 months after publication of the primary results, subject to approval by the steering group and the ethics committee and a data access agreement. The statistical analysis plan and analysis code will be made publicly available.</w:t>
      </w:r>
    </w:p>
    <w:p>
      <w:pPr>
        <w:rPr>
          <w:lang w:val="en-GB"/>
        </w:rPr>
      </w:pPr>
      <w:r>
        <w:rPr>
          <w:b/>
          <w:bCs/>
          <w:color w:val="000000"/>
          <w:lang w:val="en-GB"/>
        </w:rPr>
        <w:t xml:space="preserve">Acknowledgements</w:t>
      </w:r>
      <w:r>
        <w:rPr>
          <w:color w:val="000000"/>
          <w:lang w:val="en-GB"/>
        </w:rPr>
        <w:t xml:space="preserve"> We thank the multidisciplinary teams of the six participating diabetic foot clinics and the patient representatives who reviewed the participant information and consent documents.</w:t>
      </w:r>
    </w:p>
    <w:p w14:paraId="5A8066E0" w14:textId="77777777" w:rsidR="0083430E" w:rsidRDefault="00BF6FC8">
      <w:pPr>
        <w:pStyle w:val="JenniRefHeader"/>
        <w:pageBreakBefore/>
      </w:pPr>
      <w:r>
        <w:t>References</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	Armstrong DG, Boulton AJM, Bus SA. Diabetic Foot Ulcers and Their Recurrence. N Engl J Med 2017;376:2367–75. doi:10.1056/nejmra1615439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	Kerr M, Barron E, Chadwick P, Evans T, Kong WM, Rayman G, et al. The cost of diabetic foot ulcers and amputations to the National Health Service in England. Diabet Med 2019;36:995–1002. doi:10.1111/dme.13973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	Prompers L, Schaper N, Apelqvist J, Edmonds M, Jude E, Mauricio D, et al. Prediction of outcome in individuals with diabetic foot ulcers: focus on the differences between individuals with and without peripheral arterial disease. The EURODIALE Study. Diabetologia 2008;51:747–55. doi:10.1007/s00125-008-0940-0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	Bus SA, van Netten JJ. A shift in priority in diabetic foot care and research: 75% of foot ulcers are preventable. Diabetes Metab Res Rev 2016;32(S1):195–200. doi:10.1002/dmrr.2738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	Najafi B, Reeves ND, Armstrong DG. Leveraging smart technologies to improve the management of diabetic foot ulcers and extend ulcer-free days in remission. Diabetes Metab Res Rev 2020;36(S1):e3239. doi:10.1002/dmrr.3239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	Bus SA, Haspels R, Busch-Westbroek TE. Evaluation and Optimization of Therapeutic Footwear for Neuropathic Diabetic Foot Patients Using In-Shoe Plantar Pressure Analysis. Diabetes Care 2011;34:1595–600. doi:10.2337/dc10-2206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	Bus SA, Zwaferink JB, Dahmen R, Busch-Westbroek T. State of the art design protocol for custom made footwear for people with diabetes and peripheral neuropathy. Diabetes Metab Res Rev 2020;36(S1):e3237. doi:10.1002/dmrr.3237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8.	Bus SA, Sacco ICN, Monteiro-Soares M, Raspovic A, Paton J, Rasmussen A, et al. Guidelines on the prevention of foot ulcers in persons with diabetes (IWGDF 2023 update). Diabetes Metab Res Rev 2024;40:e3651. doi:10.1002/dmrr.3651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9.	Bus SA, Waaijman R, Arts M, de Haart M, Busch-Westbroek T, van Baal J, et al. Effect of Custom-Made Footwear on Foot Ulcer Recurrence in Diabetes. Diabetes Care 2013;36:4109–16. doi:10.2337/dc13-0996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10.	van Netten JJ, Price PE, Lavery LA, Monteiro-Soares M, Rasmussen A, Jubiz Y, et al. Prevention of foot ulcers in the at-risk patient with diabetes: a systematic review. Diabetes Metab Res Rev 2016;32(S1):84–98. doi:10.1002/dmrr.2701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11.	Lincoln NB, Radford KA, Game FL, Jeffcoate WJ. Education for secondary prevention of foot ulcers in people with diabetes: a randomised controlled trial. Diabetologia 2008;51:1954–61. doi:10.1007/s00125-008-1110-0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12.	Abbott CA, Chatwin KE, Foden P, Hasan AN, Sange C, Rajbhandari SM, et al. Innovative intelligent insole system reduces diabetic foot ulcer recurrence at plantar sites: a prospective, randomised, proof-of-concept study. Lancet Digit Health 2019;1:e308–18. doi:10.1016/s2589-7500(19)30128-1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13.	Lazzarini PA, Crews RT, van Netten JJ, Bus SA, Fernando ME, Chadwick PJ, et al. Measuring Plantar Tissue Stress in People With Diabetic Peripheral Neuropathy: A Critical Concept in Diabetic Foot Management. J Diabetes Sci Technol 2019;13:869–80. doi:10.1177/1932296819849092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14.	Waaijman R, de Haart M, Arts MLJ, Wever D, Verlouw AJWE, Nollet F, et al. Risk Factors for Plantar Foot Ulcer Recurrence in Neuropathic Diabetic Patients. Diabetes Care 2014;37:1697–705. doi:10.2337/dc13-2470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15.	Hulshof CM, Page M, van Baal SG, Bus SA, Fernando ME, van Gemert-Pijnen L, et al. The Stress of Measuring Plantar Tissue Stress in People with Diabetes-Related Foot Ulcers: Biomechanical and Feasibility Findings from Two Prospective Cohort Studies. Sensors (Basel) 2024;24:2411. doi:10.3390/s24082411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16.	Hulshof CM, van Netten JJ, Busch-Westbroek TE, Sabelis LWE, Peters EJG, Pijnappels M, et al. The predictive value of cumulative plantar tissue stress on future plantar foot ulceration in people with diabetes—A 12-month prospective observational study. Diabet Med 2025;42:e70099. doi:10.1111/dme.70099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17.	Lutjeboer T, van Netten JJ, Postema K, Hijmans J. Validity and feasibility of a temperature sensor for measuring use and non-use of orthopaedic footwear. J Rehabil Med 2018;50:920–6. doi:10.2340/16501977-2494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18.	Vossen LE, van Netten JJ, Bakker CD, Berendsen HA, Busch-Westbroek TE, Peters EJG, et al. An integrated personalized assistive devices approach to reduce the risk of foot ulcer recurrence in diabetes (DIASSIST): study protocol for a multicenter randomized controlled trial. Trials 2023;24:663. doi:10.1186/s13063-023-07635-z</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19.	Vossen LE, van Netten JJ, Hulshof CM, Jelsma N, Slootman A, Merkx MJM, et al. An Integrated Personalized Multimodal Intervention Improves Adherence to Wearing Custom-Made Footwear in People With Diabetes at High Foot Ulcer Risk: A Multicenter Randomized Controlled Trial (DIASSIST). Diabetes Care 2026;49:1384–94. doi:10.2337/dc25-3113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20.	Morbach S, Kersken J, Lobmann R, Nobels F, Doggen K, Van Acker K. The German and Belgian accreditation models for diabetic foot services. Diabetes Metab Res Rev 2016;32(S1):318–25. doi:10.1002/dmrr.2752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21.	Chan AW, Boutron I, Hopewell S, Moher D, Schulz KF, Collins GS, et al. SPIRIT 2025 statement: updated guideline for protocols of randomised trials. BMJ 2025;389:e081477. doi:10.1136/bmj-2024-081477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22.	Hoffmann TC, Glasziou PP, Boutron I, Milne R, Perera R, Moher D, et al. Better reporting of interventions: template for intervention description and replication (TIDieR) checklist and guide. BMJ 2014;348:g1687. doi:10.1136/bmj.g1687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23.	Loudon K, Treweek S, Sullivan F, Donnan P, Thorpe KE, Zwarenstein M. The PRECIS-2 tool: designing trials that are fit for purpose. BMJ 2015;350:h2147. doi:10.1136/bmj.h2147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24.	Hopewell S, Chan AW, Collins GS, Hróbjartsson A, Moher D, Schulz KF, et al. CONSORT 2025 statement: updated guideline for reporting randomised trials. BMJ 2025;389:e081123. doi:10.1136/bmj-2024-081123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25.	Regulation (EU) 2017/745 of the European Parliament and of the Council of 5 April 2017 on medical devices. Official Journal of the European Union 2017;L117:1–175.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26.	van Netten JJ, Bus SA, Apelqvist J, Chen P, Chuter V, Fitridge R, et al. Definitions and criteria for diabetes-related foot disease (IWGDF 2023 update). Diabetes Metab Res Rev 2024;40:e3654. doi:10.1002/dmrr.3654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27.	Nativel M, Potier L, Alexandre L, Baillet-Blanco L, Ducasse E, Velho G, et al. Lower extremity arterial disease in patients with diabetes: a contemporary narrative review. Cardiovasc Diabetol 2018;17:138. doi:10.1186/s12933-018-0781-1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28.	Abbott CA, Chatwin KE, Rajbhandari SM, John KM, Pabbineedi S, Bowling FL, et al. Site-Specific, Critical Threshold Barefoot Peak Plantar Pressure Associated with Diabetic Foot Ulcer History: A Novel Approach to Determine DFU Risk in the Clinical Setting. Medicina (Kaunas) 2022;58:166. doi:10.3390/medicina58020166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29.	Pouwer F, Perrin B, Lavender A, Najafi B, Ismail K, Vileikyte L. The quest for wellness: How to optimise self-care strategies for diabetic foot management? Diabetes Metab Res Rev 2024;40:e3751. doi:10.1002/dmrr.3751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30.	Jarl G, Hulshof CM, Busch-Westbroek TE, Bus SA, van Netten JJ. Adherence and Wearing Time of Prescribed Footwear among People at Risk of Diabetes-Related Foot Ulcers: Which Measure to Use? Sensors (Basel) 2023;23:1648. doi:10.3390/s23031648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31.	Lincoln N, Jeffcoate W, Ince P, Smith M, Radford K. Validation of a new measure of protective footcare behaviour: the Nottingham Assessment of Functional Footcare (NAFF). Pract Diab Int 2007;24:207–11. doi:10.1002/pdi.1099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32.	Waaijman R, Keukenkamp R, de Haart M, Polomski WP, Nollet F, Bus SA. Adherence to Wearing Prescription Custom-Made Footwear in Patients With Diabetes at High Risk for Plantar Foot Ulceration. Diabetes Care 2013;36:1613–8. doi:10.2337/dc12-1330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33.	Dorresteijn JA, Kriegsman DM, Assendelft WJ, Valk GD. Patient education for preventing diabetic foot ulceration. Cochrane Database Syst Rev 2012;10:CD001488. doi:10.1002/14651858.CD001488.pub4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34.	Zwaferink JBJ, Nollet F, Bus SA. In-Shoe Pressure Measurements in Diabetic Footwear Practice: Success Rate and Facilitators of and Barriers to Implementation. Sensors (Basel) 2024;24:1795. doi:10.3390/s24061795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35.	van Netten JJ, Vossen LE, Driebergen FM, Wolthuis D, Merkx MJM, Bus SA. Short-Term Efficacy of a Multi-Modal Intervention Program to Improve Custom-Made Footwear Use in People at High Risk of Diabetes-Related Foot Ulceration. J Clin Med 2025;14:3635. doi:10.3390/jcm14113635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36.	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 doi:10.1186/s13047-023-00656-6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37.	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 doi:10.1186/s13063-021-05680-0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38.	Dahmen R, Siemonsma P, Monteiro S, Norman G, Boers M, Lankhorst G, et al. Evaluation of the wear-and-tear scale for therapeutic footwear, results of a generalizability study. J Rehabil Med 2018;50:569–74. doi:10.2340/16501977-2339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39.	Staniszewska A, Game F, Nixon J, Russell D, Armstrong DG, Ashmore C, et al. Development of a Core Outcome Set for Studies Assessing Interventions for Diabetes-Related Foot Ulceration. Diabetes Care 2024;47:1958–68. doi:10.2337/dc24-1112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40.	Staniszewska A, Jones A, Davies L, Game F, Nixon J, Russell D, et al. Development of a core descriptor set for studies assessing interventions for diabetes-related foot ulceration. Diabetologia 2026;69:2784–97. doi:10.1007/s00125-026-06815-1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41.	Keukenkamp R, van Netten JJ, Busch-Westbroek TE, Bus SA. Custom-made footwear designed for indoor use increases short-term and long-term adherence in people with diabetes at high ulcer risk. BMJ Open Diab Res Care 2022;10:e002593. doi:10.1136/bmjdrc-2021-002593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42.	International Conference on Harmonisation. ICH E9. Statistical principles for clinical trials. Geneva: ICH, 1998.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43.	Ionan AC, Paterniti M, Mehrotra DV, Scott J, Ratitch B, Collins S, et al. Clinical and Statistical Perspectives on the ICH E9(R1) Estimand Framework Implementation. Stat Biopharm Res 2023;15:554–9. doi:10.1080/19466315.2022.2081601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44.	Gupta SK. Intention-to-treat concept: a review. Perspect Clin Res 2011;2:109–12. doi:10.4103/2229-3485.83221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45.	VanderWeele TJ. Mediation Analysis: A Practitioner's Guide. Annu Rev Public Health 2016;37:17–32. doi:10.1146/annurev-publhealth-032315-021402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46.	van Netten JJ, aan de Stegge WB, Dijkgraaf MGW, Bus SA. Cost-effectiveness of temperature monitoring to help prevent foot ulcer recurrence in people with diabetes: A multicenter randomized controlled trial. Diabetes Metab Res Rev 2024;40:e3805. doi:10.1002/dmrr.3805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47.	Bus SA, van Netten JJ, Schouten DR, Dijkgraaf MGW. Cost-Effectiveness of Pressure-Guided-Offloading-Improved Custom-Made Footwear for People with Diabetes at High Risk of Plantar Foot Ulceration. Diabetology 2026;7:70. doi:10.3390/diabetology7040070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48.	Husereau D, Drummond M, Augustovski F, de Bekker-Grob E, Briggs AH, Carswell C, et al. Consolidated Health Economic Evaluation Reporting Standards 2022 (CHEERS 2022) statement: updated reporting guidance for health economic evaluations. BMJ 2022;376:e067975. doi:10.1136/bmj-2021-067975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49.	Bouckaert N, Cleemput I, Devriese S, Gerkens S. An EQ-5D-5L Value Set for Belgium. Pharmacoecon Open 2022;6:823–36. doi:10.1007/s41669-022-00353-3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50.	Hakkaart-van Roijen L, Peeters S, Kanters T, van Baal P, Brouwer W, Drost R, et al. Kostenhandleiding voor economische evaluaties in de gezondheidszorg: methodologie en referentieprijzen. Rotterdam: Erasmus University Rotterdam, 2024.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51.	Prompers L, Huijberts M, Schaper N, Apelqvist J, Bakker K, Edmonds M, et al. Resource utilisation and costs associated with the treatment of diabetic foot ulcers. Prospective data from the Eurodiale Study. Diabetologia 2008;51:1826–34. doi:10.1007/s00125-008-1089-6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52.	Moore GF, Audrey S, Barker M, Bond L, Bonell C, Hardeman W, et al. Process evaluation of complex interventions: Medical Research Council guidance. BMJ 2015;350:h1258. doi:10.1136/bmj.h1258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53.	May CR, Johnson M, Finch T. Implementation, context and complexity. Implement Sci 2016;11:141. doi:10.1186/s13012-016-0506-3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54.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2016;L119:1–88.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55.	International Council for Harmonisation of Technical Requirements for Pharmaceuticals for Human Use. ICH E6(R3) guideline for good clinical practice. Geneva: ICH, 2025.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56.	International Organization for Standardization. ISO 14155:2020. Clinical investigation of medical devices for human subjects — good clinical practice. Geneva: ISO, 2020.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57.	European Medicines Agency, Committee for Medicinal Products for Human Use. Guideline on data monitoring committees (EMEA/CHMP/EWP/5872/03 Corr). London: EMA, 2005.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58.	Medical Device Coordination Group. MDCG 2020-10/1 Rev. 1. Safety reporting in clinical investigations of medical devices under the Regulation (EU) 2017/745. Brussels: European Commission, 2022.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59.	World Medical Association. World Medical Association Declaration of Helsinki: ethical principles for medical research involving human participants. JAMA 2025;333:71–4. doi:10.1001/jama.2024.21972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60.	Senussi M, Lincoln N, Jeffcoate W. Psychometric Properties of the Nottingham Assessment of Functional Footcare (NAFF). Int J Ther Rehabil 2011;18:330–4. doi:10.12968/ijtr.2011.18.6.330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61.	Herdman M, Gudex C, Lloyd A, Janssen M, Kind P, Parkin D, et al. Development and preliminary testing of the new five-level version of EQ-5D (EQ-5D-5L). Qual Life Res 2011;20:1727–36. doi:10.1007/s11136-011-9903-x</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62.	Monteiro-Soares M, Hamilton EJ, Russell DA, Srisawasdi G, Boyko EJ, Mills JL, et al. Guidelines on the classification of foot ulcers in people with diabetes (IWGDF 2023 update). Diabetes Metab Res Rev 2024;40:e3648. doi:10.1002/dmrr.3648</w:t>
      </w:r>
    </w:p>
    <w:p>
      <w:pPr>
        <w:pStyle w:val="Kop1"/>
        <w:pageBreakBefore/>
        <w:rPr>
          <w:lang w:val="en-GB"/>
        </w:rPr>
      </w:pPr>
      <w:r>
        <w:rPr>
          <w:color w:val="000000"/>
          <w:lang w:val="en-GB"/>
        </w:rPr>
        <w:t xml:space="preserve">Figure legends</w:t>
      </w:r>
    </w:p>
    <w:p>
      <w:pPr>
        <w:rPr>
          <w:lang w:val="en-GB"/>
        </w:rPr>
      </w:pPr>
      <w:r>
        <w:rPr>
          <w:b/>
          <w:bCs/>
          <w:color w:val="000000"/>
          <w:lang w:val="en-GB"/>
        </w:rPr>
        <w:t xml:space="preserve">Figure 1</w:t>
      </w:r>
      <w:r>
        <w:rPr>
          <w:color w:val="000000"/>
          <w:lang w:val="en-GB"/>
        </w:rPr>
        <w:t xml:space="preserve"> Planned participant flow (CONSORT 2025) for 144 participants, 24 per centre across six centres, randomised 1:1 within centre.</w:t>
      </w:r>
    </w:p>
    <w:p>
      <w:pPr>
        <w:rPr>
          <w:lang w:val="en-GB"/>
        </w:rPr>
      </w:pPr>
      <w:r>
        <w:rPr>
          <w:b/>
          <w:bCs/>
          <w:color w:val="000000"/>
          <w:lang w:val="en-GB"/>
        </w:rPr>
        <w:t xml:space="preserve">Figure 2</w:t>
      </w:r>
      <w:r>
        <w:rPr>
          <w:color w:val="000000"/>
          <w:lang w:val="en-GB"/>
        </w:rPr>
        <w:t xml:space="preserve"> PARADISE intervention pathway over 18 months: pressure-guided footwear optimisation, the five SEBIA steps and sensor-based adherence monitoring, aligned with the schedule in table 1. Both arms follow the same visit schedule. CMFO, custom-made foot orthosis; SEBIA, Structured Education and Behavioural Intervention Approach.</w:t>
      </w:r>
    </w:p>
    <w:p>
      <w:pPr>
        <w:rPr>
          <w:lang w:val="en-GB"/>
        </w:rPr>
      </w:pPr>
      <w:r>
        <w:rPr>
          <w:b/>
          <w:bCs/>
          <w:color w:val="000000"/>
          <w:lang w:val="en-GB"/>
        </w:rPr>
        <w:t xml:space="preserve">Figure 3</w:t>
      </w:r>
      <w:r>
        <w:rPr>
          <w:color w:val="000000"/>
          <w:lang w:val="en-GB"/>
        </w:rPr>
        <w:t xml:space="preserve"> Determinants of cumulative plantar tissue stress and their measurement in PARADISE. Two of the three determinants are modified by allocation; the dose–response curve is schematic.</w:t>
      </w:r>
    </w:p>
    <w:p>
      <w:pPr>
        <w:rPr>
          <w:lang w:val="en-GB"/>
        </w:rPr>
      </w:pPr>
      <w:r>
        <w:rPr>
          <w:b/>
          <w:bCs/>
          <w:color w:val="000000"/>
          <w:lang w:val="en-GB"/>
        </w:rPr>
        <w:t xml:space="preserve">Figure 4</w:t>
      </w:r>
      <w:r>
        <w:rPr>
          <w:color w:val="000000"/>
          <w:lang w:val="en-GB"/>
        </w:rPr>
        <w:t xml:space="preserve"> Logic model of PARADISE, which structures the process evaluation: inputs, activities, outputs and short-, medium- and long-term outcomes, with contextual moderators at participant, professional and organisational level.</w:t>
      </w:r>
    </w:p>
    <w:p>
      <w:pPr>
        <w:pStyle w:val="Kop1"/>
        <w:rPr>
          <w:lang w:val="en-GB"/>
        </w:rPr>
      </w:pPr>
      <w:r>
        <w:rPr>
          <w:color w:val="000000"/>
          <w:lang w:val="en-GB"/>
        </w:rPr>
        <w:t xml:space="preserve">Online supplemental material</w:t>
      </w:r>
    </w:p>
    <w:p>
      <w:pPr>
        <w:rPr>
          <w:lang w:val="en-GB"/>
        </w:rPr>
      </w:pPr>
      <w:r>
        <w:rPr>
          <w:color w:val="000000"/>
          <w:lang w:val="en-GB"/>
        </w:rPr>
        <w:t xml:space="preserve">Online supplemental file 1: SPIRIT 2025 checklist. Online supplemental file 2: TIDieR checklist. Online supplemental file 3: PRECIS-2 wheel. Online supplemental file 4: participating sites and site investigators. Online supplemental file 5: statistical power across assumed intervention effects. Online supplemental file 6: model participant information and consent form.</w:t>
      </w:r>
    </w:p>
    <w:p>
      <w:pPr>
        <w:pageBreakBefore/>
        <w:rPr>
          <w:lang w:val="en-GB"/>
        </w:rPr>
      </w:pPr>
      <w:r>
        <w:rPr>
          <w:b/>
          <w:bCs/>
          <w:color w:val="000000"/>
          <w:lang w:val="en-GB"/>
        </w:rPr>
        <w:t xml:space="preserve">Table 1</w:t>
      </w:r>
      <w:r>
        <w:rPr>
          <w:color w:val="000000"/>
          <w:lang w:val="en-GB"/>
        </w:rPr>
        <w:t xml:space="preserve"> Schedule of enrolment, interventions and assessments (SPIRIT 2025)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26"/>
        <w:gridCol w:w="580"/>
        <w:gridCol w:w="580"/>
        <w:gridCol w:w="580"/>
        <w:gridCol w:w="580"/>
        <w:gridCol w:w="580"/>
        <w:gridCol w:w="580"/>
        <w:gridCol w:w="580"/>
        <w:gridCol w:w="580"/>
        <w:gridCol w:w="580"/>
        <w:gridCol w:w="580"/>
      </w:tblGrid>
      <w:tr w:rsidR="0083430E" w14:paraId="2BFBD03B" w14:textId="77777777" w:rsidTr="005E6EAF">
        <w:trPr>
          <w:tblHeader/>
        </w:trPr>
        <w:tc>
          <w:tcPr>
            <w:tcW w:w="3226" w:type="dxa"/>
          </w:tcPr>
          <w:p w14:paraId="505E7CC4" w14:textId="77777777" w:rsidR="0083430E" w:rsidRDefault="00BF6FC8">
            <w:pPr>
              <w:spacing w:before="20" w:after="20" w:line="240" w:lineRule="auto"/>
            </w:pPr>
            <w:r>
              <w:rPr>
                <w:b/>
                <w:bCs/>
                <w:color w:val="000000"/>
                <w:sz w:val="18"/>
                <w:szCs w:val="18"/>
              </w:rPr>
              <w:t>Procedure</w:t>
            </w:r>
          </w:p>
        </w:tc>
        <w:tc>
          <w:tcPr>
            <w:tcW w:w="580" w:type="dxa"/>
          </w:tcPr>
          <w:p w14:paraId="53E53FDF" w14:textId="77777777" w:rsidR="0083430E" w:rsidRDefault="00BF6FC8">
            <w:pPr>
              <w:spacing w:before="20" w:after="20" w:line="240" w:lineRule="auto"/>
              <w:jc w:val="center"/>
            </w:pPr>
            <w:r>
              <w:rPr>
                <w:b/>
                <w:bCs/>
                <w:color w:val="000000"/>
                <w:sz w:val="18"/>
                <w:szCs w:val="18"/>
              </w:rPr>
              <w:t>Screen</w:t>
            </w:r>
          </w:p>
        </w:tc>
        <w:tc>
          <w:tcPr>
            <w:tcW w:w="580" w:type="dxa"/>
          </w:tcPr>
          <w:p w14:paraId="1CD03198" w14:textId="77777777" w:rsidR="0083430E" w:rsidRDefault="00BF6FC8">
            <w:pPr>
              <w:spacing w:before="20" w:after="20" w:line="240" w:lineRule="auto"/>
              <w:jc w:val="center"/>
            </w:pPr>
            <w:r>
              <w:rPr>
                <w:b/>
                <w:bCs/>
                <w:color w:val="000000"/>
                <w:sz w:val="18"/>
                <w:szCs w:val="18"/>
              </w:rPr>
              <w:t>Rand./Base</w:t>
            </w:r>
          </w:p>
        </w:tc>
        <w:tc>
          <w:tcPr>
            <w:tcW w:w="580" w:type="dxa"/>
          </w:tcPr>
          <w:p w14:paraId="7A0B570D" w14:textId="77777777" w:rsidR="0083430E" w:rsidRDefault="00BF6FC8">
            <w:pPr>
              <w:spacing w:before="20" w:after="20" w:line="240" w:lineRule="auto"/>
              <w:jc w:val="center"/>
            </w:pPr>
            <w:r>
              <w:rPr>
                <w:b/>
                <w:bCs/>
                <w:color w:val="000000"/>
                <w:sz w:val="18"/>
                <w:szCs w:val="18"/>
              </w:rPr>
              <w:t>V2</w:t>
            </w:r>
          </w:p>
        </w:tc>
        <w:tc>
          <w:tcPr>
            <w:tcW w:w="580" w:type="dxa"/>
          </w:tcPr>
          <w:p w14:paraId="20178ED4" w14:textId="77777777" w:rsidR="0083430E" w:rsidRDefault="00BF6FC8">
            <w:pPr>
              <w:spacing w:before="20" w:after="20" w:line="240" w:lineRule="auto"/>
              <w:jc w:val="center"/>
            </w:pPr>
            <w:r>
              <w:rPr>
                <w:b/>
                <w:bCs/>
                <w:color w:val="000000"/>
                <w:sz w:val="18"/>
                <w:szCs w:val="18"/>
              </w:rPr>
              <w:t>3</w:t>
            </w:r>
          </w:p>
        </w:tc>
        <w:tc>
          <w:tcPr>
            <w:tcW w:w="580" w:type="dxa"/>
          </w:tcPr>
          <w:p w14:paraId="42CF0D4B" w14:textId="77777777" w:rsidR="0083430E" w:rsidRDefault="00BF6FC8">
            <w:pPr>
              <w:spacing w:before="20" w:after="20" w:line="240" w:lineRule="auto"/>
              <w:jc w:val="center"/>
            </w:pPr>
            <w:r>
              <w:rPr>
                <w:b/>
                <w:bCs/>
                <w:color w:val="000000"/>
                <w:sz w:val="18"/>
                <w:szCs w:val="18"/>
              </w:rPr>
              <w:t>6</w:t>
            </w:r>
          </w:p>
        </w:tc>
        <w:tc>
          <w:tcPr>
            <w:tcW w:w="580" w:type="dxa"/>
          </w:tcPr>
          <w:p w14:paraId="1C3DCB84" w14:textId="77777777" w:rsidR="0083430E" w:rsidRDefault="00BF6FC8">
            <w:pPr>
              <w:spacing w:before="20" w:after="20" w:line="240" w:lineRule="auto"/>
              <w:jc w:val="center"/>
            </w:pPr>
            <w:r>
              <w:rPr>
                <w:b/>
                <w:bCs/>
                <w:color w:val="000000"/>
                <w:sz w:val="18"/>
                <w:szCs w:val="18"/>
              </w:rPr>
              <w:t>9</w:t>
            </w:r>
          </w:p>
        </w:tc>
        <w:tc>
          <w:tcPr>
            <w:tcW w:w="580" w:type="dxa"/>
          </w:tcPr>
          <w:p w14:paraId="09B5558E" w14:textId="77777777" w:rsidR="0083430E" w:rsidRDefault="00BF6FC8">
            <w:pPr>
              <w:spacing w:before="20" w:after="20" w:line="240" w:lineRule="auto"/>
              <w:jc w:val="center"/>
            </w:pPr>
            <w:r>
              <w:rPr>
                <w:b/>
                <w:bCs/>
                <w:color w:val="000000"/>
                <w:sz w:val="18"/>
                <w:szCs w:val="18"/>
              </w:rPr>
              <w:t>12</w:t>
            </w:r>
          </w:p>
        </w:tc>
        <w:tc>
          <w:tcPr>
            <w:tcW w:w="580" w:type="dxa"/>
          </w:tcPr>
          <w:p w14:paraId="0C9FF0D2" w14:textId="77777777" w:rsidR="0083430E" w:rsidRDefault="00BF6FC8">
            <w:pPr>
              <w:spacing w:before="20" w:after="20" w:line="240" w:lineRule="auto"/>
              <w:jc w:val="center"/>
            </w:pPr>
            <w:r>
              <w:rPr>
                <w:b/>
                <w:bCs/>
                <w:color w:val="000000"/>
                <w:sz w:val="18"/>
                <w:szCs w:val="18"/>
              </w:rPr>
              <w:t>15</w:t>
            </w:r>
          </w:p>
        </w:tc>
        <w:tc>
          <w:tcPr>
            <w:tcW w:w="580" w:type="dxa"/>
          </w:tcPr>
          <w:p w14:paraId="6EE65FA9" w14:textId="77777777" w:rsidR="0083430E" w:rsidRDefault="00BF6FC8">
            <w:pPr>
              <w:spacing w:before="20" w:after="20" w:line="240" w:lineRule="auto"/>
              <w:jc w:val="center"/>
            </w:pPr>
            <w:r>
              <w:rPr>
                <w:b/>
                <w:bCs/>
                <w:color w:val="000000"/>
                <w:sz w:val="18"/>
                <w:szCs w:val="18"/>
              </w:rPr>
              <w:t>18</w:t>
            </w:r>
          </w:p>
        </w:tc>
        <w:tc>
          <w:tcPr>
            <w:tcW w:w="580" w:type="dxa"/>
          </w:tcPr>
          <w:p w14:paraId="16F0B927" w14:textId="77777777" w:rsidR="0083430E" w:rsidRDefault="00BF6FC8">
            <w:pPr>
              <w:spacing w:before="20" w:after="20" w:line="240" w:lineRule="auto"/>
              <w:jc w:val="center"/>
            </w:pPr>
            <w:r>
              <w:rPr>
                <w:b/>
                <w:bCs/>
                <w:color w:val="000000"/>
                <w:sz w:val="18"/>
                <w:szCs w:val="18"/>
              </w:rPr>
              <w:t>Unsch.</w:t>
            </w:r>
          </w:p>
        </w:tc>
      </w:tr>
      <w:tr w:rsidR="0083430E" w14:paraId="2DB96DD4" w14:textId="77777777" w:rsidTr="005E6EAF">
        <w:tc>
          <w:tcPr>
            <w:tcW w:w="3226" w:type="dxa"/>
          </w:tcPr>
          <w:p w14:paraId="767030B6" w14:textId="77777777" w:rsidR="0083430E" w:rsidRPr="005E6EAF" w:rsidRDefault="00BF6FC8">
            <w:pPr>
              <w:spacing w:before="20" w:after="20" w:line="240" w:lineRule="auto"/>
              <w:rPr>
                <w:b/>
                <w:bCs/>
              </w:rPr>
            </w:pPr>
            <w:r w:rsidRPr="005E6EAF">
              <w:rPr>
                <w:b/>
                <w:bCs/>
                <w:color w:val="000000"/>
                <w:sz w:val="18"/>
                <w:szCs w:val="18"/>
              </w:rPr>
              <w:t>ENROLMENT</w:t>
            </w:r>
          </w:p>
        </w:tc>
        <w:tc>
          <w:tcPr>
            <w:tcW w:w="580" w:type="dxa"/>
          </w:tcPr>
          <w:p w14:paraId="4909A8AF" w14:textId="77777777" w:rsidR="0083430E" w:rsidRDefault="0083430E">
            <w:pPr>
              <w:spacing w:before="20" w:after="20" w:line="240" w:lineRule="auto"/>
              <w:jc w:val="center"/>
            </w:pPr>
          </w:p>
        </w:tc>
        <w:tc>
          <w:tcPr>
            <w:tcW w:w="580" w:type="dxa"/>
          </w:tcPr>
          <w:p w14:paraId="12991114" w14:textId="77777777" w:rsidR="0083430E" w:rsidRDefault="0083430E">
            <w:pPr>
              <w:spacing w:before="20" w:after="20" w:line="240" w:lineRule="auto"/>
              <w:jc w:val="center"/>
            </w:pPr>
          </w:p>
        </w:tc>
        <w:tc>
          <w:tcPr>
            <w:tcW w:w="580" w:type="dxa"/>
          </w:tcPr>
          <w:p w14:paraId="1530D508" w14:textId="77777777" w:rsidR="0083430E" w:rsidRDefault="0083430E">
            <w:pPr>
              <w:spacing w:before="20" w:after="20" w:line="240" w:lineRule="auto"/>
              <w:jc w:val="center"/>
            </w:pPr>
          </w:p>
        </w:tc>
        <w:tc>
          <w:tcPr>
            <w:tcW w:w="580" w:type="dxa"/>
          </w:tcPr>
          <w:p w14:paraId="0D694031" w14:textId="77777777" w:rsidR="0083430E" w:rsidRDefault="0083430E">
            <w:pPr>
              <w:spacing w:before="20" w:after="20" w:line="240" w:lineRule="auto"/>
              <w:jc w:val="center"/>
            </w:pPr>
          </w:p>
        </w:tc>
        <w:tc>
          <w:tcPr>
            <w:tcW w:w="580" w:type="dxa"/>
          </w:tcPr>
          <w:p w14:paraId="19D058B1" w14:textId="77777777" w:rsidR="0083430E" w:rsidRDefault="0083430E">
            <w:pPr>
              <w:spacing w:before="20" w:after="20" w:line="240" w:lineRule="auto"/>
              <w:jc w:val="center"/>
            </w:pPr>
          </w:p>
        </w:tc>
        <w:tc>
          <w:tcPr>
            <w:tcW w:w="580" w:type="dxa"/>
          </w:tcPr>
          <w:p w14:paraId="68E73D50" w14:textId="77777777" w:rsidR="0083430E" w:rsidRDefault="0083430E">
            <w:pPr>
              <w:spacing w:before="20" w:after="20" w:line="240" w:lineRule="auto"/>
              <w:jc w:val="center"/>
            </w:pPr>
          </w:p>
        </w:tc>
        <w:tc>
          <w:tcPr>
            <w:tcW w:w="580" w:type="dxa"/>
          </w:tcPr>
          <w:p w14:paraId="0A281D0D" w14:textId="77777777" w:rsidR="0083430E" w:rsidRDefault="0083430E">
            <w:pPr>
              <w:spacing w:before="20" w:after="20" w:line="240" w:lineRule="auto"/>
              <w:jc w:val="center"/>
            </w:pPr>
          </w:p>
        </w:tc>
        <w:tc>
          <w:tcPr>
            <w:tcW w:w="580" w:type="dxa"/>
          </w:tcPr>
          <w:p w14:paraId="3FEF4048" w14:textId="77777777" w:rsidR="0083430E" w:rsidRDefault="0083430E">
            <w:pPr>
              <w:spacing w:before="20" w:after="20" w:line="240" w:lineRule="auto"/>
              <w:jc w:val="center"/>
            </w:pPr>
          </w:p>
        </w:tc>
        <w:tc>
          <w:tcPr>
            <w:tcW w:w="580" w:type="dxa"/>
          </w:tcPr>
          <w:p w14:paraId="5881EBB6" w14:textId="77777777" w:rsidR="0083430E" w:rsidRDefault="0083430E">
            <w:pPr>
              <w:spacing w:before="20" w:after="20" w:line="240" w:lineRule="auto"/>
              <w:jc w:val="center"/>
            </w:pPr>
          </w:p>
        </w:tc>
        <w:tc>
          <w:tcPr>
            <w:tcW w:w="580" w:type="dxa"/>
          </w:tcPr>
          <w:p w14:paraId="0B3C91FE" w14:textId="77777777" w:rsidR="0083430E" w:rsidRDefault="0083430E">
            <w:pPr>
              <w:spacing w:before="20" w:after="20" w:line="240" w:lineRule="auto"/>
              <w:jc w:val="center"/>
            </w:pPr>
          </w:p>
        </w:tc>
      </w:tr>
      <w:tr w:rsidR="0083430E" w14:paraId="05552EC8" w14:textId="77777777" w:rsidTr="005E6EAF">
        <w:tc>
          <w:tcPr>
            <w:tcW w:w="3226" w:type="dxa"/>
          </w:tcPr>
          <w:p w14:paraId="3DB72C77" w14:textId="77777777" w:rsidR="0083430E" w:rsidRDefault="00BF6FC8">
            <w:pPr>
              <w:spacing w:before="20" w:after="20" w:line="240" w:lineRule="auto"/>
            </w:pPr>
            <w:r>
              <w:rPr>
                <w:color w:val="000000"/>
                <w:sz w:val="18"/>
                <w:szCs w:val="18"/>
              </w:rPr>
              <w:t>Eligibility screening</w:t>
            </w:r>
          </w:p>
        </w:tc>
        <w:tc>
          <w:tcPr>
            <w:tcW w:w="580" w:type="dxa"/>
          </w:tcPr>
          <w:p w14:paraId="3731B1E4" w14:textId="77777777" w:rsidR="0083430E" w:rsidRDefault="00BF6FC8">
            <w:pPr>
              <w:spacing w:before="20" w:after="20" w:line="240" w:lineRule="auto"/>
              <w:jc w:val="center"/>
            </w:pPr>
            <w:r>
              <w:rPr>
                <w:color w:val="000000"/>
                <w:sz w:val="18"/>
                <w:szCs w:val="18"/>
              </w:rPr>
              <w:t>X</w:t>
            </w:r>
          </w:p>
        </w:tc>
        <w:tc>
          <w:tcPr>
            <w:tcW w:w="580" w:type="dxa"/>
          </w:tcPr>
          <w:p w14:paraId="08823772" w14:textId="77777777" w:rsidR="0083430E" w:rsidRDefault="0083430E">
            <w:pPr>
              <w:spacing w:before="20" w:after="20" w:line="240" w:lineRule="auto"/>
              <w:jc w:val="center"/>
            </w:pPr>
          </w:p>
        </w:tc>
        <w:tc>
          <w:tcPr>
            <w:tcW w:w="580" w:type="dxa"/>
          </w:tcPr>
          <w:p w14:paraId="0695CC10" w14:textId="77777777" w:rsidR="0083430E" w:rsidRDefault="0083430E">
            <w:pPr>
              <w:spacing w:before="20" w:after="20" w:line="240" w:lineRule="auto"/>
              <w:jc w:val="center"/>
            </w:pPr>
          </w:p>
        </w:tc>
        <w:tc>
          <w:tcPr>
            <w:tcW w:w="580" w:type="dxa"/>
          </w:tcPr>
          <w:p w14:paraId="3BC22567" w14:textId="77777777" w:rsidR="0083430E" w:rsidRDefault="0083430E">
            <w:pPr>
              <w:spacing w:before="20" w:after="20" w:line="240" w:lineRule="auto"/>
              <w:jc w:val="center"/>
            </w:pPr>
          </w:p>
        </w:tc>
        <w:tc>
          <w:tcPr>
            <w:tcW w:w="580" w:type="dxa"/>
          </w:tcPr>
          <w:p w14:paraId="2221C4F9" w14:textId="77777777" w:rsidR="0083430E" w:rsidRDefault="0083430E">
            <w:pPr>
              <w:spacing w:before="20" w:after="20" w:line="240" w:lineRule="auto"/>
              <w:jc w:val="center"/>
            </w:pPr>
          </w:p>
        </w:tc>
        <w:tc>
          <w:tcPr>
            <w:tcW w:w="580" w:type="dxa"/>
          </w:tcPr>
          <w:p w14:paraId="048E5529" w14:textId="77777777" w:rsidR="0083430E" w:rsidRDefault="0083430E">
            <w:pPr>
              <w:spacing w:before="20" w:after="20" w:line="240" w:lineRule="auto"/>
              <w:jc w:val="center"/>
            </w:pPr>
          </w:p>
        </w:tc>
        <w:tc>
          <w:tcPr>
            <w:tcW w:w="580" w:type="dxa"/>
          </w:tcPr>
          <w:p w14:paraId="6365AB0F" w14:textId="77777777" w:rsidR="0083430E" w:rsidRDefault="0083430E">
            <w:pPr>
              <w:spacing w:before="20" w:after="20" w:line="240" w:lineRule="auto"/>
              <w:jc w:val="center"/>
            </w:pPr>
          </w:p>
        </w:tc>
        <w:tc>
          <w:tcPr>
            <w:tcW w:w="580" w:type="dxa"/>
          </w:tcPr>
          <w:p w14:paraId="4E603BE2" w14:textId="77777777" w:rsidR="0083430E" w:rsidRDefault="0083430E">
            <w:pPr>
              <w:spacing w:before="20" w:after="20" w:line="240" w:lineRule="auto"/>
              <w:jc w:val="center"/>
            </w:pPr>
          </w:p>
        </w:tc>
        <w:tc>
          <w:tcPr>
            <w:tcW w:w="580" w:type="dxa"/>
          </w:tcPr>
          <w:p w14:paraId="5CE63A58" w14:textId="77777777" w:rsidR="0083430E" w:rsidRDefault="0083430E">
            <w:pPr>
              <w:spacing w:before="20" w:after="20" w:line="240" w:lineRule="auto"/>
              <w:jc w:val="center"/>
            </w:pPr>
          </w:p>
        </w:tc>
        <w:tc>
          <w:tcPr>
            <w:tcW w:w="580" w:type="dxa"/>
          </w:tcPr>
          <w:p w14:paraId="07593BBB" w14:textId="77777777" w:rsidR="0083430E" w:rsidRDefault="0083430E">
            <w:pPr>
              <w:spacing w:before="20" w:after="20" w:line="240" w:lineRule="auto"/>
              <w:jc w:val="center"/>
            </w:pPr>
          </w:p>
        </w:tc>
      </w:tr>
      <w:tr w:rsidR="0083430E" w14:paraId="3D415ED9" w14:textId="77777777" w:rsidTr="005E6EAF">
        <w:tc>
          <w:tcPr>
            <w:tcW w:w="3226" w:type="dxa"/>
          </w:tcPr>
          <w:p w14:paraId="2FF06AD3" w14:textId="77777777" w:rsidR="0083430E" w:rsidRDefault="00BF6FC8">
            <w:pPr>
              <w:spacing w:before="20" w:after="20" w:line="240" w:lineRule="auto"/>
            </w:pPr>
            <w:r>
              <w:rPr>
                <w:color w:val="000000"/>
                <w:sz w:val="18"/>
                <w:szCs w:val="18"/>
              </w:rPr>
              <w:t>Informed consent (participant, therapist)</w:t>
            </w:r>
          </w:p>
        </w:tc>
        <w:tc>
          <w:tcPr>
            <w:tcW w:w="580" w:type="dxa"/>
          </w:tcPr>
          <w:p w14:paraId="353EF506" w14:textId="77777777" w:rsidR="0083430E" w:rsidRDefault="00BF6FC8">
            <w:pPr>
              <w:spacing w:before="20" w:after="20" w:line="240" w:lineRule="auto"/>
              <w:jc w:val="center"/>
            </w:pPr>
            <w:r>
              <w:rPr>
                <w:color w:val="000000"/>
                <w:sz w:val="18"/>
                <w:szCs w:val="18"/>
              </w:rPr>
              <w:t>X</w:t>
            </w:r>
          </w:p>
        </w:tc>
        <w:tc>
          <w:tcPr>
            <w:tcW w:w="580" w:type="dxa"/>
          </w:tcPr>
          <w:p w14:paraId="4B4AAEE3" w14:textId="77777777" w:rsidR="0083430E" w:rsidRDefault="0083430E">
            <w:pPr>
              <w:spacing w:before="20" w:after="20" w:line="240" w:lineRule="auto"/>
              <w:jc w:val="center"/>
            </w:pPr>
          </w:p>
        </w:tc>
        <w:tc>
          <w:tcPr>
            <w:tcW w:w="580" w:type="dxa"/>
          </w:tcPr>
          <w:p w14:paraId="0B240DCA" w14:textId="77777777" w:rsidR="0083430E" w:rsidRDefault="0083430E">
            <w:pPr>
              <w:spacing w:before="20" w:after="20" w:line="240" w:lineRule="auto"/>
              <w:jc w:val="center"/>
            </w:pPr>
          </w:p>
        </w:tc>
        <w:tc>
          <w:tcPr>
            <w:tcW w:w="580" w:type="dxa"/>
          </w:tcPr>
          <w:p w14:paraId="0131B143" w14:textId="77777777" w:rsidR="0083430E" w:rsidRDefault="0083430E">
            <w:pPr>
              <w:spacing w:before="20" w:after="20" w:line="240" w:lineRule="auto"/>
              <w:jc w:val="center"/>
            </w:pPr>
          </w:p>
        </w:tc>
        <w:tc>
          <w:tcPr>
            <w:tcW w:w="580" w:type="dxa"/>
          </w:tcPr>
          <w:p w14:paraId="6A6A17A0" w14:textId="77777777" w:rsidR="0083430E" w:rsidRDefault="0083430E">
            <w:pPr>
              <w:spacing w:before="20" w:after="20" w:line="240" w:lineRule="auto"/>
              <w:jc w:val="center"/>
            </w:pPr>
          </w:p>
        </w:tc>
        <w:tc>
          <w:tcPr>
            <w:tcW w:w="580" w:type="dxa"/>
          </w:tcPr>
          <w:p w14:paraId="03194F7D" w14:textId="77777777" w:rsidR="0083430E" w:rsidRDefault="0083430E">
            <w:pPr>
              <w:spacing w:before="20" w:after="20" w:line="240" w:lineRule="auto"/>
              <w:jc w:val="center"/>
            </w:pPr>
          </w:p>
        </w:tc>
        <w:tc>
          <w:tcPr>
            <w:tcW w:w="580" w:type="dxa"/>
          </w:tcPr>
          <w:p w14:paraId="7D0B1EBC" w14:textId="77777777" w:rsidR="0083430E" w:rsidRDefault="0083430E">
            <w:pPr>
              <w:spacing w:before="20" w:after="20" w:line="240" w:lineRule="auto"/>
              <w:jc w:val="center"/>
            </w:pPr>
          </w:p>
        </w:tc>
        <w:tc>
          <w:tcPr>
            <w:tcW w:w="580" w:type="dxa"/>
          </w:tcPr>
          <w:p w14:paraId="2EA71892" w14:textId="77777777" w:rsidR="0083430E" w:rsidRDefault="0083430E">
            <w:pPr>
              <w:spacing w:before="20" w:after="20" w:line="240" w:lineRule="auto"/>
              <w:jc w:val="center"/>
            </w:pPr>
          </w:p>
        </w:tc>
        <w:tc>
          <w:tcPr>
            <w:tcW w:w="580" w:type="dxa"/>
          </w:tcPr>
          <w:p w14:paraId="5B6676C6" w14:textId="77777777" w:rsidR="0083430E" w:rsidRDefault="0083430E">
            <w:pPr>
              <w:spacing w:before="20" w:after="20" w:line="240" w:lineRule="auto"/>
              <w:jc w:val="center"/>
            </w:pPr>
          </w:p>
        </w:tc>
        <w:tc>
          <w:tcPr>
            <w:tcW w:w="580" w:type="dxa"/>
          </w:tcPr>
          <w:p w14:paraId="04E76CB0" w14:textId="77777777" w:rsidR="0083430E" w:rsidRDefault="0083430E">
            <w:pPr>
              <w:spacing w:before="20" w:after="20" w:line="240" w:lineRule="auto"/>
              <w:jc w:val="center"/>
            </w:pPr>
          </w:p>
        </w:tc>
      </w:tr>
      <w:tr w:rsidR="0083430E" w14:paraId="58364D43" w14:textId="77777777" w:rsidTr="005E6EAF">
        <w:tc>
          <w:tcPr>
            <w:tcW w:w="3226" w:type="dxa"/>
          </w:tcPr>
          <w:p w14:paraId="0FE08C8B" w14:textId="77777777" w:rsidR="0083430E" w:rsidRDefault="00BF6FC8">
            <w:pPr>
              <w:spacing w:before="20" w:after="20" w:line="240" w:lineRule="auto"/>
            </w:pPr>
            <w:r>
              <w:rPr>
                <w:color w:val="000000"/>
                <w:sz w:val="18"/>
                <w:szCs w:val="18"/>
              </w:rPr>
              <w:t>Randomisation / allocation</w:t>
            </w:r>
          </w:p>
        </w:tc>
        <w:tc>
          <w:tcPr>
            <w:tcW w:w="580" w:type="dxa"/>
          </w:tcPr>
          <w:p w14:paraId="347C5E94" w14:textId="77777777" w:rsidR="0083430E" w:rsidRDefault="0083430E">
            <w:pPr>
              <w:spacing w:before="20" w:after="20" w:line="240" w:lineRule="auto"/>
              <w:jc w:val="center"/>
            </w:pPr>
          </w:p>
        </w:tc>
        <w:tc>
          <w:tcPr>
            <w:tcW w:w="580" w:type="dxa"/>
          </w:tcPr>
          <w:p w14:paraId="22452271" w14:textId="77777777" w:rsidR="0083430E" w:rsidRDefault="00BF6FC8">
            <w:pPr>
              <w:spacing w:before="20" w:after="20" w:line="240" w:lineRule="auto"/>
              <w:jc w:val="center"/>
            </w:pPr>
            <w:r>
              <w:rPr>
                <w:color w:val="000000"/>
                <w:sz w:val="18"/>
                <w:szCs w:val="18"/>
              </w:rPr>
              <w:t>X</w:t>
            </w:r>
          </w:p>
        </w:tc>
        <w:tc>
          <w:tcPr>
            <w:tcW w:w="580" w:type="dxa"/>
          </w:tcPr>
          <w:p w14:paraId="51471840" w14:textId="77777777" w:rsidR="0083430E" w:rsidRDefault="0083430E">
            <w:pPr>
              <w:spacing w:before="20" w:after="20" w:line="240" w:lineRule="auto"/>
              <w:jc w:val="center"/>
            </w:pPr>
          </w:p>
        </w:tc>
        <w:tc>
          <w:tcPr>
            <w:tcW w:w="580" w:type="dxa"/>
          </w:tcPr>
          <w:p w14:paraId="2F7A28DE" w14:textId="77777777" w:rsidR="0083430E" w:rsidRDefault="0083430E">
            <w:pPr>
              <w:spacing w:before="20" w:after="20" w:line="240" w:lineRule="auto"/>
              <w:jc w:val="center"/>
            </w:pPr>
          </w:p>
        </w:tc>
        <w:tc>
          <w:tcPr>
            <w:tcW w:w="580" w:type="dxa"/>
          </w:tcPr>
          <w:p w14:paraId="7C7E8969" w14:textId="77777777" w:rsidR="0083430E" w:rsidRDefault="0083430E">
            <w:pPr>
              <w:spacing w:before="20" w:after="20" w:line="240" w:lineRule="auto"/>
              <w:jc w:val="center"/>
            </w:pPr>
          </w:p>
        </w:tc>
        <w:tc>
          <w:tcPr>
            <w:tcW w:w="580" w:type="dxa"/>
          </w:tcPr>
          <w:p w14:paraId="1D6A8D43" w14:textId="77777777" w:rsidR="0083430E" w:rsidRDefault="0083430E">
            <w:pPr>
              <w:spacing w:before="20" w:after="20" w:line="240" w:lineRule="auto"/>
              <w:jc w:val="center"/>
            </w:pPr>
          </w:p>
        </w:tc>
        <w:tc>
          <w:tcPr>
            <w:tcW w:w="580" w:type="dxa"/>
          </w:tcPr>
          <w:p w14:paraId="1BBA1098" w14:textId="77777777" w:rsidR="0083430E" w:rsidRDefault="0083430E">
            <w:pPr>
              <w:spacing w:before="20" w:after="20" w:line="240" w:lineRule="auto"/>
              <w:jc w:val="center"/>
            </w:pPr>
          </w:p>
        </w:tc>
        <w:tc>
          <w:tcPr>
            <w:tcW w:w="580" w:type="dxa"/>
          </w:tcPr>
          <w:p w14:paraId="4C1B551C" w14:textId="77777777" w:rsidR="0083430E" w:rsidRDefault="0083430E">
            <w:pPr>
              <w:spacing w:before="20" w:after="20" w:line="240" w:lineRule="auto"/>
              <w:jc w:val="center"/>
            </w:pPr>
          </w:p>
        </w:tc>
        <w:tc>
          <w:tcPr>
            <w:tcW w:w="580" w:type="dxa"/>
          </w:tcPr>
          <w:p w14:paraId="4F9CEE5C" w14:textId="77777777" w:rsidR="0083430E" w:rsidRDefault="0083430E">
            <w:pPr>
              <w:spacing w:before="20" w:after="20" w:line="240" w:lineRule="auto"/>
              <w:jc w:val="center"/>
            </w:pPr>
          </w:p>
        </w:tc>
        <w:tc>
          <w:tcPr>
            <w:tcW w:w="580" w:type="dxa"/>
          </w:tcPr>
          <w:p w14:paraId="52711B6F" w14:textId="77777777" w:rsidR="0083430E" w:rsidRDefault="0083430E">
            <w:pPr>
              <w:spacing w:before="20" w:after="20" w:line="240" w:lineRule="auto"/>
              <w:jc w:val="center"/>
            </w:pPr>
          </w:p>
        </w:tc>
      </w:tr>
      <w:tr w:rsidR="0083430E" w14:paraId="1CE26F61" w14:textId="77777777" w:rsidTr="005E6EAF">
        <w:tc>
          <w:tcPr>
            <w:tcW w:w="3226" w:type="dxa"/>
          </w:tcPr>
          <w:p w14:paraId="363ED84F" w14:textId="77777777" w:rsidR="0083430E" w:rsidRPr="005E6EAF" w:rsidRDefault="00BF6FC8">
            <w:pPr>
              <w:spacing w:before="20" w:after="20" w:line="240" w:lineRule="auto"/>
              <w:rPr>
                <w:b/>
                <w:bCs/>
              </w:rPr>
            </w:pPr>
            <w:r w:rsidRPr="005E6EAF">
              <w:rPr>
                <w:b/>
                <w:bCs/>
                <w:color w:val="000000"/>
                <w:sz w:val="18"/>
                <w:szCs w:val="18"/>
              </w:rPr>
              <w:t>INTERVENTIONS</w:t>
            </w:r>
          </w:p>
        </w:tc>
        <w:tc>
          <w:tcPr>
            <w:tcW w:w="580" w:type="dxa"/>
          </w:tcPr>
          <w:p w14:paraId="23FD27CA" w14:textId="77777777" w:rsidR="0083430E" w:rsidRDefault="0083430E">
            <w:pPr>
              <w:spacing w:before="20" w:after="20" w:line="240" w:lineRule="auto"/>
              <w:jc w:val="center"/>
            </w:pPr>
          </w:p>
        </w:tc>
        <w:tc>
          <w:tcPr>
            <w:tcW w:w="580" w:type="dxa"/>
          </w:tcPr>
          <w:p w14:paraId="41EC4919" w14:textId="77777777" w:rsidR="0083430E" w:rsidRDefault="0083430E">
            <w:pPr>
              <w:spacing w:before="20" w:after="20" w:line="240" w:lineRule="auto"/>
              <w:jc w:val="center"/>
            </w:pPr>
          </w:p>
        </w:tc>
        <w:tc>
          <w:tcPr>
            <w:tcW w:w="580" w:type="dxa"/>
          </w:tcPr>
          <w:p w14:paraId="20BD2052" w14:textId="77777777" w:rsidR="0083430E" w:rsidRDefault="0083430E">
            <w:pPr>
              <w:spacing w:before="20" w:after="20" w:line="240" w:lineRule="auto"/>
              <w:jc w:val="center"/>
            </w:pPr>
          </w:p>
        </w:tc>
        <w:tc>
          <w:tcPr>
            <w:tcW w:w="580" w:type="dxa"/>
          </w:tcPr>
          <w:p w14:paraId="128DB445" w14:textId="77777777" w:rsidR="0083430E" w:rsidRDefault="0083430E">
            <w:pPr>
              <w:spacing w:before="20" w:after="20" w:line="240" w:lineRule="auto"/>
              <w:jc w:val="center"/>
            </w:pPr>
          </w:p>
        </w:tc>
        <w:tc>
          <w:tcPr>
            <w:tcW w:w="580" w:type="dxa"/>
          </w:tcPr>
          <w:p w14:paraId="614983AC" w14:textId="77777777" w:rsidR="0083430E" w:rsidRDefault="0083430E">
            <w:pPr>
              <w:spacing w:before="20" w:after="20" w:line="240" w:lineRule="auto"/>
              <w:jc w:val="center"/>
            </w:pPr>
          </w:p>
        </w:tc>
        <w:tc>
          <w:tcPr>
            <w:tcW w:w="580" w:type="dxa"/>
          </w:tcPr>
          <w:p w14:paraId="5C4D37B2" w14:textId="77777777" w:rsidR="0083430E" w:rsidRDefault="0083430E">
            <w:pPr>
              <w:spacing w:before="20" w:after="20" w:line="240" w:lineRule="auto"/>
              <w:jc w:val="center"/>
            </w:pPr>
          </w:p>
        </w:tc>
        <w:tc>
          <w:tcPr>
            <w:tcW w:w="580" w:type="dxa"/>
          </w:tcPr>
          <w:p w14:paraId="195E9C2E" w14:textId="77777777" w:rsidR="0083430E" w:rsidRDefault="0083430E">
            <w:pPr>
              <w:spacing w:before="20" w:after="20" w:line="240" w:lineRule="auto"/>
              <w:jc w:val="center"/>
            </w:pPr>
          </w:p>
        </w:tc>
        <w:tc>
          <w:tcPr>
            <w:tcW w:w="580" w:type="dxa"/>
          </w:tcPr>
          <w:p w14:paraId="5D9A557E" w14:textId="77777777" w:rsidR="0083430E" w:rsidRDefault="0083430E">
            <w:pPr>
              <w:spacing w:before="20" w:after="20" w:line="240" w:lineRule="auto"/>
              <w:jc w:val="center"/>
            </w:pPr>
          </w:p>
        </w:tc>
        <w:tc>
          <w:tcPr>
            <w:tcW w:w="580" w:type="dxa"/>
          </w:tcPr>
          <w:p w14:paraId="04CEB93D" w14:textId="77777777" w:rsidR="0083430E" w:rsidRDefault="0083430E">
            <w:pPr>
              <w:spacing w:before="20" w:after="20" w:line="240" w:lineRule="auto"/>
              <w:jc w:val="center"/>
            </w:pPr>
          </w:p>
        </w:tc>
        <w:tc>
          <w:tcPr>
            <w:tcW w:w="580" w:type="dxa"/>
          </w:tcPr>
          <w:p w14:paraId="09A5134F" w14:textId="77777777" w:rsidR="0083430E" w:rsidRDefault="0083430E">
            <w:pPr>
              <w:spacing w:before="20" w:after="20" w:line="240" w:lineRule="auto"/>
              <w:jc w:val="center"/>
            </w:pPr>
          </w:p>
        </w:tc>
      </w:tr>
      <w:tr w:rsidR="0083430E" w14:paraId="5F815130" w14:textId="77777777" w:rsidTr="005E6EAF">
        <w:tc>
          <w:tcPr>
            <w:tcW w:w="3226" w:type="dxa"/>
          </w:tcPr>
          <w:p w14:paraId="35D7A020" w14:textId="77777777" w:rsidR="0083430E" w:rsidRPr="0065684E" w:rsidRDefault="00BF6FC8">
            <w:pPr>
              <w:spacing w:before="20" w:after="20" w:line="240" w:lineRule="auto"/>
              <w:rPr>
                <w:lang w:val="en-GB"/>
              </w:rPr>
            </w:pPr>
            <w:r w:rsidRPr="0065684E">
              <w:rPr>
                <w:color w:val="000000"/>
                <w:sz w:val="18"/>
                <w:szCs w:val="18"/>
                <w:lang w:val="en-GB"/>
              </w:rPr>
              <w:t>Scheduled trial visit (both arms)</w:t>
            </w:r>
          </w:p>
        </w:tc>
        <w:tc>
          <w:tcPr>
            <w:tcW w:w="580" w:type="dxa"/>
          </w:tcPr>
          <w:p w14:paraId="2C26B4D5" w14:textId="77777777" w:rsidR="0083430E" w:rsidRDefault="00BF6FC8">
            <w:pPr>
              <w:spacing w:before="20" w:after="20" w:line="240" w:lineRule="auto"/>
              <w:jc w:val="center"/>
            </w:pPr>
            <w:r>
              <w:rPr>
                <w:color w:val="000000"/>
                <w:sz w:val="18"/>
                <w:szCs w:val="18"/>
              </w:rPr>
              <w:t>X</w:t>
            </w:r>
          </w:p>
        </w:tc>
        <w:tc>
          <w:tcPr>
            <w:tcW w:w="580" w:type="dxa"/>
          </w:tcPr>
          <w:p w14:paraId="63F4149C" w14:textId="77777777" w:rsidR="0083430E" w:rsidRDefault="00BF6FC8">
            <w:pPr>
              <w:spacing w:before="20" w:after="20" w:line="240" w:lineRule="auto"/>
              <w:jc w:val="center"/>
            </w:pPr>
            <w:r>
              <w:rPr>
                <w:color w:val="000000"/>
                <w:sz w:val="18"/>
                <w:szCs w:val="18"/>
              </w:rPr>
              <w:t>X</w:t>
            </w:r>
          </w:p>
        </w:tc>
        <w:tc>
          <w:tcPr>
            <w:tcW w:w="580" w:type="dxa"/>
          </w:tcPr>
          <w:p w14:paraId="25C79E95" w14:textId="77777777" w:rsidR="0083430E" w:rsidRDefault="00BF6FC8">
            <w:pPr>
              <w:spacing w:before="20" w:after="20" w:line="240" w:lineRule="auto"/>
              <w:jc w:val="center"/>
            </w:pPr>
            <w:r>
              <w:rPr>
                <w:color w:val="000000"/>
                <w:sz w:val="18"/>
                <w:szCs w:val="18"/>
              </w:rPr>
              <w:t>X</w:t>
            </w:r>
          </w:p>
        </w:tc>
        <w:tc>
          <w:tcPr>
            <w:tcW w:w="580" w:type="dxa"/>
          </w:tcPr>
          <w:p w14:paraId="761B81E8" w14:textId="77777777" w:rsidR="0083430E" w:rsidRDefault="00BF6FC8">
            <w:pPr>
              <w:spacing w:before="20" w:after="20" w:line="240" w:lineRule="auto"/>
              <w:jc w:val="center"/>
            </w:pPr>
            <w:r>
              <w:rPr>
                <w:color w:val="000000"/>
                <w:sz w:val="18"/>
                <w:szCs w:val="18"/>
              </w:rPr>
              <w:t>X</w:t>
            </w:r>
          </w:p>
        </w:tc>
        <w:tc>
          <w:tcPr>
            <w:tcW w:w="580" w:type="dxa"/>
          </w:tcPr>
          <w:p w14:paraId="1853A1F0" w14:textId="77777777" w:rsidR="0083430E" w:rsidRDefault="00BF6FC8">
            <w:pPr>
              <w:spacing w:before="20" w:after="20" w:line="240" w:lineRule="auto"/>
              <w:jc w:val="center"/>
            </w:pPr>
            <w:r>
              <w:rPr>
                <w:color w:val="000000"/>
                <w:sz w:val="18"/>
                <w:szCs w:val="18"/>
              </w:rPr>
              <w:t>X</w:t>
            </w:r>
          </w:p>
        </w:tc>
        <w:tc>
          <w:tcPr>
            <w:tcW w:w="580" w:type="dxa"/>
          </w:tcPr>
          <w:p w14:paraId="5B782304" w14:textId="77777777" w:rsidR="0083430E" w:rsidRDefault="00BF6FC8">
            <w:pPr>
              <w:spacing w:before="20" w:after="20" w:line="240" w:lineRule="auto"/>
              <w:jc w:val="center"/>
            </w:pPr>
            <w:r>
              <w:rPr>
                <w:color w:val="000000"/>
                <w:sz w:val="18"/>
                <w:szCs w:val="18"/>
              </w:rPr>
              <w:t>X</w:t>
            </w:r>
          </w:p>
        </w:tc>
        <w:tc>
          <w:tcPr>
            <w:tcW w:w="580" w:type="dxa"/>
          </w:tcPr>
          <w:p w14:paraId="2AE43E73" w14:textId="77777777" w:rsidR="0083430E" w:rsidRDefault="00BF6FC8">
            <w:pPr>
              <w:spacing w:before="20" w:after="20" w:line="240" w:lineRule="auto"/>
              <w:jc w:val="center"/>
            </w:pPr>
            <w:r>
              <w:rPr>
                <w:color w:val="000000"/>
                <w:sz w:val="18"/>
                <w:szCs w:val="18"/>
              </w:rPr>
              <w:t>X</w:t>
            </w:r>
          </w:p>
        </w:tc>
        <w:tc>
          <w:tcPr>
            <w:tcW w:w="580" w:type="dxa"/>
          </w:tcPr>
          <w:p w14:paraId="113C8E22" w14:textId="77777777" w:rsidR="0083430E" w:rsidRDefault="00BF6FC8">
            <w:pPr>
              <w:spacing w:before="20" w:after="20" w:line="240" w:lineRule="auto"/>
              <w:jc w:val="center"/>
            </w:pPr>
            <w:r>
              <w:rPr>
                <w:color w:val="000000"/>
                <w:sz w:val="18"/>
                <w:szCs w:val="18"/>
              </w:rPr>
              <w:t>X</w:t>
            </w:r>
          </w:p>
        </w:tc>
        <w:tc>
          <w:tcPr>
            <w:tcW w:w="580" w:type="dxa"/>
          </w:tcPr>
          <w:p w14:paraId="5B256559" w14:textId="77777777" w:rsidR="0083430E" w:rsidRDefault="00BF6FC8">
            <w:pPr>
              <w:spacing w:before="20" w:after="20" w:line="240" w:lineRule="auto"/>
              <w:jc w:val="center"/>
            </w:pPr>
            <w:r>
              <w:rPr>
                <w:color w:val="000000"/>
                <w:sz w:val="18"/>
                <w:szCs w:val="18"/>
              </w:rPr>
              <w:t>X</w:t>
            </w:r>
          </w:p>
        </w:tc>
        <w:tc>
          <w:tcPr>
            <w:tcW w:w="580" w:type="dxa"/>
          </w:tcPr>
          <w:p w14:paraId="44ADED9C" w14:textId="77777777" w:rsidR="0083430E" w:rsidRDefault="00BF6FC8">
            <w:pPr>
              <w:spacing w:before="20" w:after="20" w:line="240" w:lineRule="auto"/>
              <w:jc w:val="center"/>
            </w:pPr>
            <w:r>
              <w:rPr>
                <w:color w:val="000000"/>
                <w:sz w:val="18"/>
                <w:szCs w:val="18"/>
              </w:rPr>
              <w:t>X</w:t>
            </w:r>
          </w:p>
        </w:tc>
      </w:tr>
      <w:tr w:rsidR="0083430E" w14:paraId="59CCE450" w14:textId="77777777" w:rsidTr="005E6EAF">
        <w:tc>
          <w:tcPr>
            <w:tcW w:w="3226" w:type="dxa"/>
          </w:tcPr>
          <w:p w14:paraId="7F147E44" w14:textId="6D60A7AF" w:rsidR="0083430E" w:rsidRDefault="00BF6FC8">
            <w:pPr>
              <w:spacing w:before="20" w:after="20" w:line="240" w:lineRule="auto"/>
            </w:pPr>
            <w:r>
              <w:rPr>
                <w:color w:val="000000"/>
                <w:sz w:val="18"/>
                <w:szCs w:val="18"/>
              </w:rPr>
              <w:t>CMFO prescription (both arms)</w:t>
            </w:r>
          </w:p>
        </w:tc>
        <w:tc>
          <w:tcPr>
            <w:tcW w:w="580" w:type="dxa"/>
          </w:tcPr>
          <w:p w14:paraId="503D031E" w14:textId="77777777" w:rsidR="0083430E" w:rsidRDefault="0083430E">
            <w:pPr>
              <w:spacing w:before="20" w:after="20" w:line="240" w:lineRule="auto"/>
              <w:jc w:val="center"/>
            </w:pPr>
          </w:p>
        </w:tc>
        <w:tc>
          <w:tcPr>
            <w:tcW w:w="580" w:type="dxa"/>
          </w:tcPr>
          <w:p w14:paraId="4FAD7F06" w14:textId="77777777" w:rsidR="0083430E" w:rsidRDefault="00BF6FC8">
            <w:pPr>
              <w:spacing w:before="20" w:after="20" w:line="240" w:lineRule="auto"/>
              <w:jc w:val="center"/>
            </w:pPr>
            <w:r>
              <w:rPr>
                <w:color w:val="000000"/>
                <w:sz w:val="18"/>
                <w:szCs w:val="18"/>
              </w:rPr>
              <w:t>X</w:t>
            </w:r>
          </w:p>
        </w:tc>
        <w:tc>
          <w:tcPr>
            <w:tcW w:w="580" w:type="dxa"/>
          </w:tcPr>
          <w:p w14:paraId="4DEEDCF3" w14:textId="77777777" w:rsidR="0083430E" w:rsidRDefault="0083430E">
            <w:pPr>
              <w:spacing w:before="20" w:after="20" w:line="240" w:lineRule="auto"/>
              <w:jc w:val="center"/>
            </w:pPr>
          </w:p>
        </w:tc>
        <w:tc>
          <w:tcPr>
            <w:tcW w:w="580" w:type="dxa"/>
          </w:tcPr>
          <w:p w14:paraId="5F9F32F6" w14:textId="77777777" w:rsidR="0083430E" w:rsidRDefault="0083430E">
            <w:pPr>
              <w:spacing w:before="20" w:after="20" w:line="240" w:lineRule="auto"/>
              <w:jc w:val="center"/>
            </w:pPr>
          </w:p>
        </w:tc>
        <w:tc>
          <w:tcPr>
            <w:tcW w:w="580" w:type="dxa"/>
          </w:tcPr>
          <w:p w14:paraId="7972FBA7" w14:textId="77777777" w:rsidR="0083430E" w:rsidRDefault="0083430E">
            <w:pPr>
              <w:spacing w:before="20" w:after="20" w:line="240" w:lineRule="auto"/>
              <w:jc w:val="center"/>
            </w:pPr>
          </w:p>
        </w:tc>
        <w:tc>
          <w:tcPr>
            <w:tcW w:w="580" w:type="dxa"/>
          </w:tcPr>
          <w:p w14:paraId="4B2D3246" w14:textId="77777777" w:rsidR="0083430E" w:rsidRDefault="0083430E">
            <w:pPr>
              <w:spacing w:before="20" w:after="20" w:line="240" w:lineRule="auto"/>
              <w:jc w:val="center"/>
            </w:pPr>
          </w:p>
        </w:tc>
        <w:tc>
          <w:tcPr>
            <w:tcW w:w="580" w:type="dxa"/>
          </w:tcPr>
          <w:p w14:paraId="1FEE83F8" w14:textId="77777777" w:rsidR="0083430E" w:rsidRDefault="0083430E">
            <w:pPr>
              <w:spacing w:before="20" w:after="20" w:line="240" w:lineRule="auto"/>
              <w:jc w:val="center"/>
            </w:pPr>
          </w:p>
        </w:tc>
        <w:tc>
          <w:tcPr>
            <w:tcW w:w="580" w:type="dxa"/>
          </w:tcPr>
          <w:p w14:paraId="1C498116" w14:textId="77777777" w:rsidR="0083430E" w:rsidRDefault="0083430E">
            <w:pPr>
              <w:spacing w:before="20" w:after="20" w:line="240" w:lineRule="auto"/>
              <w:jc w:val="center"/>
            </w:pPr>
          </w:p>
        </w:tc>
        <w:tc>
          <w:tcPr>
            <w:tcW w:w="580" w:type="dxa"/>
          </w:tcPr>
          <w:p w14:paraId="4AE9E11D" w14:textId="77777777" w:rsidR="0083430E" w:rsidRDefault="0083430E">
            <w:pPr>
              <w:spacing w:before="20" w:after="20" w:line="240" w:lineRule="auto"/>
              <w:jc w:val="center"/>
            </w:pPr>
          </w:p>
        </w:tc>
        <w:tc>
          <w:tcPr>
            <w:tcW w:w="580" w:type="dxa"/>
          </w:tcPr>
          <w:p w14:paraId="096DF140" w14:textId="77777777" w:rsidR="0083430E" w:rsidRDefault="0083430E">
            <w:pPr>
              <w:spacing w:before="20" w:after="20" w:line="240" w:lineRule="auto"/>
              <w:jc w:val="center"/>
            </w:pPr>
          </w:p>
        </w:tc>
      </w:tr>
      <w:tr w:rsidR="0083430E" w14:paraId="7C7F66F5" w14:textId="77777777" w:rsidTr="005E6EAF">
        <w:tc>
          <w:tcPr>
            <w:tcW w:w="3226" w:type="dxa"/>
          </w:tcPr>
          <w:p w14:paraId="245FB684" w14:textId="300DC828" w:rsidR="0083430E" w:rsidRPr="0065684E" w:rsidRDefault="00BF6FC8">
            <w:pPr>
              <w:spacing w:before="20" w:after="20" w:line="240" w:lineRule="auto"/>
              <w:rPr>
                <w:lang w:val="en-GB"/>
              </w:rPr>
            </w:pPr>
            <w:r w:rsidRPr="0065684E">
              <w:rPr>
                <w:color w:val="000000"/>
                <w:sz w:val="18"/>
                <w:szCs w:val="18"/>
                <w:lang w:val="en-GB"/>
              </w:rPr>
              <w:t>CMFO delivery + sensor integration (</w:t>
            </w:r>
            <w:r>
              <w:rPr>
                <w:color w:val="000000"/>
                <w:sz w:val="18"/>
                <w:szCs w:val="18"/>
                <w:lang w:val="en-GB"/>
              </w:rPr>
              <w:t>both arms</w:t>
            </w:r>
            <w:r w:rsidRPr="0065684E">
              <w:rPr>
                <w:color w:val="000000"/>
                <w:sz w:val="18"/>
                <w:szCs w:val="18"/>
                <w:lang w:val="en-GB"/>
              </w:rPr>
              <w:t>)</w:t>
            </w:r>
          </w:p>
        </w:tc>
        <w:tc>
          <w:tcPr>
            <w:tcW w:w="580" w:type="dxa"/>
          </w:tcPr>
          <w:p w14:paraId="06E9BD8C" w14:textId="77777777" w:rsidR="0083430E" w:rsidRPr="0065684E" w:rsidRDefault="0083430E">
            <w:pPr>
              <w:spacing w:before="20" w:after="20" w:line="240" w:lineRule="auto"/>
              <w:jc w:val="center"/>
              <w:rPr>
                <w:lang w:val="en-GB"/>
              </w:rPr>
            </w:pPr>
          </w:p>
        </w:tc>
        <w:tc>
          <w:tcPr>
            <w:tcW w:w="580" w:type="dxa"/>
          </w:tcPr>
          <w:p w14:paraId="5019644C" w14:textId="77777777" w:rsidR="0083430E" w:rsidRPr="0065684E" w:rsidRDefault="0083430E">
            <w:pPr>
              <w:spacing w:before="20" w:after="20" w:line="240" w:lineRule="auto"/>
              <w:jc w:val="center"/>
              <w:rPr>
                <w:lang w:val="en-GB"/>
              </w:rPr>
            </w:pPr>
          </w:p>
        </w:tc>
        <w:tc>
          <w:tcPr>
            <w:tcW w:w="580" w:type="dxa"/>
          </w:tcPr>
          <w:p w14:paraId="7929998A" w14:textId="77777777" w:rsidR="0083430E" w:rsidRDefault="00BF6FC8">
            <w:pPr>
              <w:spacing w:before="20" w:after="20" w:line="240" w:lineRule="auto"/>
              <w:jc w:val="center"/>
            </w:pPr>
            <w:r>
              <w:rPr>
                <w:color w:val="000000"/>
                <w:sz w:val="18"/>
                <w:szCs w:val="18"/>
              </w:rPr>
              <w:t>X</w:t>
            </w:r>
          </w:p>
        </w:tc>
        <w:tc>
          <w:tcPr>
            <w:tcW w:w="580" w:type="dxa"/>
          </w:tcPr>
          <w:p w14:paraId="4BF42C7B" w14:textId="77777777" w:rsidR="0083430E" w:rsidRDefault="0083430E">
            <w:pPr>
              <w:spacing w:before="20" w:after="20" w:line="240" w:lineRule="auto"/>
              <w:jc w:val="center"/>
            </w:pPr>
          </w:p>
        </w:tc>
        <w:tc>
          <w:tcPr>
            <w:tcW w:w="580" w:type="dxa"/>
          </w:tcPr>
          <w:p w14:paraId="715B5381" w14:textId="77777777" w:rsidR="0083430E" w:rsidRDefault="0083430E">
            <w:pPr>
              <w:spacing w:before="20" w:after="20" w:line="240" w:lineRule="auto"/>
              <w:jc w:val="center"/>
            </w:pPr>
          </w:p>
        </w:tc>
        <w:tc>
          <w:tcPr>
            <w:tcW w:w="580" w:type="dxa"/>
          </w:tcPr>
          <w:p w14:paraId="579F807C" w14:textId="77777777" w:rsidR="0083430E" w:rsidRDefault="0083430E">
            <w:pPr>
              <w:spacing w:before="20" w:after="20" w:line="240" w:lineRule="auto"/>
              <w:jc w:val="center"/>
            </w:pPr>
          </w:p>
        </w:tc>
        <w:tc>
          <w:tcPr>
            <w:tcW w:w="580" w:type="dxa"/>
          </w:tcPr>
          <w:p w14:paraId="1D11025F" w14:textId="77777777" w:rsidR="0083430E" w:rsidRDefault="0083430E">
            <w:pPr>
              <w:spacing w:before="20" w:after="20" w:line="240" w:lineRule="auto"/>
              <w:jc w:val="center"/>
            </w:pPr>
          </w:p>
        </w:tc>
        <w:tc>
          <w:tcPr>
            <w:tcW w:w="580" w:type="dxa"/>
          </w:tcPr>
          <w:p w14:paraId="3094AA83" w14:textId="77777777" w:rsidR="0083430E" w:rsidRDefault="0083430E">
            <w:pPr>
              <w:spacing w:before="20" w:after="20" w:line="240" w:lineRule="auto"/>
              <w:jc w:val="center"/>
            </w:pPr>
          </w:p>
        </w:tc>
        <w:tc>
          <w:tcPr>
            <w:tcW w:w="580" w:type="dxa"/>
          </w:tcPr>
          <w:p w14:paraId="525E3FAD" w14:textId="77777777" w:rsidR="0083430E" w:rsidRDefault="0083430E">
            <w:pPr>
              <w:spacing w:before="20" w:after="20" w:line="240" w:lineRule="auto"/>
              <w:jc w:val="center"/>
            </w:pPr>
          </w:p>
        </w:tc>
        <w:tc>
          <w:tcPr>
            <w:tcW w:w="580" w:type="dxa"/>
          </w:tcPr>
          <w:p w14:paraId="04BDB2C2" w14:textId="77777777" w:rsidR="0083430E" w:rsidRDefault="0083430E">
            <w:pPr>
              <w:spacing w:before="20" w:after="20" w:line="240" w:lineRule="auto"/>
              <w:jc w:val="center"/>
            </w:pPr>
          </w:p>
        </w:tc>
      </w:tr>
      <w:tr w:rsidR="0083430E" w14:paraId="6B947B5C" w14:textId="77777777" w:rsidTr="005E6EAF">
        <w:tc>
          <w:tcPr>
            <w:tcW w:w="3226" w:type="dxa"/>
          </w:tcPr>
          <w:p w14:paraId="3E9DC4D5" w14:textId="77777777" w:rsidR="0083430E" w:rsidRPr="0065684E" w:rsidRDefault="00BF6FC8">
            <w:pPr>
              <w:spacing w:before="20" w:after="20" w:line="240" w:lineRule="auto"/>
              <w:rPr>
                <w:lang w:val="en-GB"/>
              </w:rPr>
            </w:pPr>
            <w:r w:rsidRPr="0065684E">
              <w:rPr>
                <w:color w:val="000000"/>
                <w:sz w:val="18"/>
                <w:szCs w:val="18"/>
                <w:lang w:val="en-GB"/>
              </w:rPr>
              <w:t>SEBIA Step 1 — foot-care behaviour, health literacy, education</w:t>
            </w:r>
          </w:p>
        </w:tc>
        <w:tc>
          <w:tcPr>
            <w:tcW w:w="580" w:type="dxa"/>
          </w:tcPr>
          <w:p w14:paraId="4594F4B9" w14:textId="77777777" w:rsidR="0083430E" w:rsidRPr="0065684E" w:rsidRDefault="0083430E">
            <w:pPr>
              <w:spacing w:before="20" w:after="20" w:line="240" w:lineRule="auto"/>
              <w:jc w:val="center"/>
              <w:rPr>
                <w:lang w:val="en-GB"/>
              </w:rPr>
            </w:pPr>
          </w:p>
        </w:tc>
        <w:tc>
          <w:tcPr>
            <w:tcW w:w="580" w:type="dxa"/>
          </w:tcPr>
          <w:p w14:paraId="7E7D32C6" w14:textId="77777777" w:rsidR="0083430E" w:rsidRDefault="00BF6FC8">
            <w:pPr>
              <w:spacing w:before="20" w:after="20" w:line="240" w:lineRule="auto"/>
              <w:jc w:val="center"/>
            </w:pPr>
            <w:r>
              <w:rPr>
                <w:color w:val="000000"/>
                <w:sz w:val="18"/>
                <w:szCs w:val="18"/>
              </w:rPr>
              <w:t>X</w:t>
            </w:r>
          </w:p>
        </w:tc>
        <w:tc>
          <w:tcPr>
            <w:tcW w:w="580" w:type="dxa"/>
          </w:tcPr>
          <w:p w14:paraId="2411C068" w14:textId="77777777" w:rsidR="0083430E" w:rsidRDefault="0083430E">
            <w:pPr>
              <w:spacing w:before="20" w:after="20" w:line="240" w:lineRule="auto"/>
              <w:jc w:val="center"/>
            </w:pPr>
          </w:p>
        </w:tc>
        <w:tc>
          <w:tcPr>
            <w:tcW w:w="580" w:type="dxa"/>
          </w:tcPr>
          <w:p w14:paraId="580F0D9A" w14:textId="77777777" w:rsidR="0083430E" w:rsidRDefault="0083430E">
            <w:pPr>
              <w:spacing w:before="20" w:after="20" w:line="240" w:lineRule="auto"/>
              <w:jc w:val="center"/>
            </w:pPr>
          </w:p>
        </w:tc>
        <w:tc>
          <w:tcPr>
            <w:tcW w:w="580" w:type="dxa"/>
          </w:tcPr>
          <w:p w14:paraId="5489B326" w14:textId="77777777" w:rsidR="0083430E" w:rsidRDefault="0083430E">
            <w:pPr>
              <w:spacing w:before="20" w:after="20" w:line="240" w:lineRule="auto"/>
              <w:jc w:val="center"/>
            </w:pPr>
          </w:p>
        </w:tc>
        <w:tc>
          <w:tcPr>
            <w:tcW w:w="580" w:type="dxa"/>
          </w:tcPr>
          <w:p w14:paraId="41AA895A" w14:textId="77777777" w:rsidR="0083430E" w:rsidRDefault="0083430E">
            <w:pPr>
              <w:spacing w:before="20" w:after="20" w:line="240" w:lineRule="auto"/>
              <w:jc w:val="center"/>
            </w:pPr>
          </w:p>
        </w:tc>
        <w:tc>
          <w:tcPr>
            <w:tcW w:w="580" w:type="dxa"/>
          </w:tcPr>
          <w:p w14:paraId="466425A6" w14:textId="77777777" w:rsidR="0083430E" w:rsidRDefault="0083430E">
            <w:pPr>
              <w:spacing w:before="20" w:after="20" w:line="240" w:lineRule="auto"/>
              <w:jc w:val="center"/>
            </w:pPr>
          </w:p>
        </w:tc>
        <w:tc>
          <w:tcPr>
            <w:tcW w:w="580" w:type="dxa"/>
          </w:tcPr>
          <w:p w14:paraId="0B0536FC" w14:textId="77777777" w:rsidR="0083430E" w:rsidRDefault="0083430E">
            <w:pPr>
              <w:spacing w:before="20" w:after="20" w:line="240" w:lineRule="auto"/>
              <w:jc w:val="center"/>
            </w:pPr>
          </w:p>
        </w:tc>
        <w:tc>
          <w:tcPr>
            <w:tcW w:w="580" w:type="dxa"/>
          </w:tcPr>
          <w:p w14:paraId="621B27AE" w14:textId="77777777" w:rsidR="0083430E" w:rsidRDefault="0083430E">
            <w:pPr>
              <w:spacing w:before="20" w:after="20" w:line="240" w:lineRule="auto"/>
              <w:jc w:val="center"/>
            </w:pPr>
          </w:p>
        </w:tc>
        <w:tc>
          <w:tcPr>
            <w:tcW w:w="580" w:type="dxa"/>
          </w:tcPr>
          <w:p w14:paraId="46CE18A6" w14:textId="77777777" w:rsidR="0083430E" w:rsidRDefault="0083430E">
            <w:pPr>
              <w:spacing w:before="20" w:after="20" w:line="240" w:lineRule="auto"/>
              <w:jc w:val="center"/>
            </w:pPr>
          </w:p>
        </w:tc>
      </w:tr>
      <w:tr w:rsidR="0083430E" w14:paraId="51874FFB" w14:textId="77777777" w:rsidTr="005E6EAF">
        <w:tc>
          <w:tcPr>
            <w:tcW w:w="3226" w:type="dxa"/>
          </w:tcPr>
          <w:p w14:paraId="3A4D5735" w14:textId="77777777" w:rsidR="0083430E" w:rsidRPr="0065684E" w:rsidRDefault="00BF6FC8">
            <w:pPr>
              <w:spacing w:before="20" w:after="20" w:line="240" w:lineRule="auto"/>
              <w:rPr>
                <w:lang w:val="en-GB"/>
              </w:rPr>
            </w:pPr>
            <w:r w:rsidRPr="0065684E">
              <w:rPr>
                <w:color w:val="000000"/>
                <w:sz w:val="18"/>
                <w:szCs w:val="18"/>
                <w:lang w:val="en-GB"/>
              </w:rPr>
              <w:t>SEBIA Step 2 — footwear education, teach-back</w:t>
            </w:r>
          </w:p>
        </w:tc>
        <w:tc>
          <w:tcPr>
            <w:tcW w:w="580" w:type="dxa"/>
          </w:tcPr>
          <w:p w14:paraId="44175D8D" w14:textId="77777777" w:rsidR="0083430E" w:rsidRPr="0065684E" w:rsidRDefault="0083430E">
            <w:pPr>
              <w:spacing w:before="20" w:after="20" w:line="240" w:lineRule="auto"/>
              <w:jc w:val="center"/>
              <w:rPr>
                <w:lang w:val="en-GB"/>
              </w:rPr>
            </w:pPr>
          </w:p>
        </w:tc>
        <w:tc>
          <w:tcPr>
            <w:tcW w:w="580" w:type="dxa"/>
          </w:tcPr>
          <w:p w14:paraId="4F6CC722" w14:textId="77777777" w:rsidR="0083430E" w:rsidRPr="0065684E" w:rsidRDefault="0083430E">
            <w:pPr>
              <w:spacing w:before="20" w:after="20" w:line="240" w:lineRule="auto"/>
              <w:jc w:val="center"/>
              <w:rPr>
                <w:lang w:val="en-GB"/>
              </w:rPr>
            </w:pPr>
          </w:p>
        </w:tc>
        <w:tc>
          <w:tcPr>
            <w:tcW w:w="580" w:type="dxa"/>
          </w:tcPr>
          <w:p w14:paraId="1B20462F" w14:textId="77777777" w:rsidR="0083430E" w:rsidRDefault="00BF6FC8">
            <w:pPr>
              <w:spacing w:before="20" w:after="20" w:line="240" w:lineRule="auto"/>
              <w:jc w:val="center"/>
            </w:pPr>
            <w:r>
              <w:rPr>
                <w:color w:val="000000"/>
                <w:sz w:val="18"/>
                <w:szCs w:val="18"/>
              </w:rPr>
              <w:t>X</w:t>
            </w:r>
          </w:p>
        </w:tc>
        <w:tc>
          <w:tcPr>
            <w:tcW w:w="580" w:type="dxa"/>
          </w:tcPr>
          <w:p w14:paraId="403142F4" w14:textId="77777777" w:rsidR="0083430E" w:rsidRDefault="0083430E">
            <w:pPr>
              <w:spacing w:before="20" w:after="20" w:line="240" w:lineRule="auto"/>
              <w:jc w:val="center"/>
            </w:pPr>
          </w:p>
        </w:tc>
        <w:tc>
          <w:tcPr>
            <w:tcW w:w="580" w:type="dxa"/>
          </w:tcPr>
          <w:p w14:paraId="3CE2683A" w14:textId="77777777" w:rsidR="0083430E" w:rsidRDefault="0083430E">
            <w:pPr>
              <w:spacing w:before="20" w:after="20" w:line="240" w:lineRule="auto"/>
              <w:jc w:val="center"/>
            </w:pPr>
          </w:p>
        </w:tc>
        <w:tc>
          <w:tcPr>
            <w:tcW w:w="580" w:type="dxa"/>
          </w:tcPr>
          <w:p w14:paraId="54C54DE3" w14:textId="77777777" w:rsidR="0083430E" w:rsidRDefault="0083430E">
            <w:pPr>
              <w:spacing w:before="20" w:after="20" w:line="240" w:lineRule="auto"/>
              <w:jc w:val="center"/>
            </w:pPr>
          </w:p>
        </w:tc>
        <w:tc>
          <w:tcPr>
            <w:tcW w:w="580" w:type="dxa"/>
          </w:tcPr>
          <w:p w14:paraId="3049EEFC" w14:textId="77777777" w:rsidR="0083430E" w:rsidRDefault="0083430E">
            <w:pPr>
              <w:spacing w:before="20" w:after="20" w:line="240" w:lineRule="auto"/>
              <w:jc w:val="center"/>
            </w:pPr>
          </w:p>
        </w:tc>
        <w:tc>
          <w:tcPr>
            <w:tcW w:w="580" w:type="dxa"/>
          </w:tcPr>
          <w:p w14:paraId="1F61F425" w14:textId="77777777" w:rsidR="0083430E" w:rsidRDefault="0083430E">
            <w:pPr>
              <w:spacing w:before="20" w:after="20" w:line="240" w:lineRule="auto"/>
              <w:jc w:val="center"/>
            </w:pPr>
          </w:p>
        </w:tc>
        <w:tc>
          <w:tcPr>
            <w:tcW w:w="580" w:type="dxa"/>
          </w:tcPr>
          <w:p w14:paraId="0BDFE492" w14:textId="77777777" w:rsidR="0083430E" w:rsidRDefault="0083430E">
            <w:pPr>
              <w:spacing w:before="20" w:after="20" w:line="240" w:lineRule="auto"/>
              <w:jc w:val="center"/>
            </w:pPr>
          </w:p>
        </w:tc>
        <w:tc>
          <w:tcPr>
            <w:tcW w:w="580" w:type="dxa"/>
          </w:tcPr>
          <w:p w14:paraId="27506033" w14:textId="77777777" w:rsidR="0083430E" w:rsidRDefault="0083430E">
            <w:pPr>
              <w:spacing w:before="20" w:after="20" w:line="240" w:lineRule="auto"/>
              <w:jc w:val="center"/>
            </w:pPr>
          </w:p>
        </w:tc>
      </w:tr>
      <w:tr w:rsidR="0083430E" w14:paraId="31AC3028" w14:textId="77777777" w:rsidTr="005E6EAF">
        <w:tc>
          <w:tcPr>
            <w:tcW w:w="3226" w:type="dxa"/>
          </w:tcPr>
          <w:p w14:paraId="4F1426A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 + sensor review</w:t>
            </w:r>
          </w:p>
        </w:tc>
        <w:tc>
          <w:tcPr>
            <w:tcW w:w="580" w:type="dxa"/>
          </w:tcPr>
          <w:p w14:paraId="531B9FAC" w14:textId="77777777" w:rsidR="0083430E" w:rsidRPr="0065684E" w:rsidRDefault="0083430E">
            <w:pPr>
              <w:spacing w:before="20" w:after="20" w:line="240" w:lineRule="auto"/>
              <w:jc w:val="center"/>
              <w:rPr>
                <w:lang w:val="en-GB"/>
              </w:rPr>
            </w:pPr>
          </w:p>
        </w:tc>
        <w:tc>
          <w:tcPr>
            <w:tcW w:w="580" w:type="dxa"/>
          </w:tcPr>
          <w:p w14:paraId="65C95C81" w14:textId="77777777" w:rsidR="0083430E" w:rsidRPr="0065684E" w:rsidRDefault="0083430E">
            <w:pPr>
              <w:spacing w:before="20" w:after="20" w:line="240" w:lineRule="auto"/>
              <w:jc w:val="center"/>
              <w:rPr>
                <w:lang w:val="en-GB"/>
              </w:rPr>
            </w:pPr>
          </w:p>
        </w:tc>
        <w:tc>
          <w:tcPr>
            <w:tcW w:w="580" w:type="dxa"/>
          </w:tcPr>
          <w:p w14:paraId="78EEA497" w14:textId="77777777" w:rsidR="0083430E" w:rsidRPr="0065684E" w:rsidRDefault="0083430E">
            <w:pPr>
              <w:spacing w:before="20" w:after="20" w:line="240" w:lineRule="auto"/>
              <w:jc w:val="center"/>
              <w:rPr>
                <w:lang w:val="en-GB"/>
              </w:rPr>
            </w:pPr>
          </w:p>
        </w:tc>
        <w:tc>
          <w:tcPr>
            <w:tcW w:w="580" w:type="dxa"/>
          </w:tcPr>
          <w:p w14:paraId="762D2BFD"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DFD81EB" w14:textId="1BC46972" w:rsidR="0083430E" w:rsidRDefault="0083430E">
            <w:pPr>
              <w:spacing w:before="20" w:after="20" w:line="240" w:lineRule="auto"/>
              <w:jc w:val="center"/>
            </w:pPr>
          </w:p>
        </w:tc>
        <w:tc>
          <w:tcPr>
            <w:tcW w:w="580" w:type="dxa"/>
          </w:tcPr>
          <w:p w14:paraId="416DFBB3" w14:textId="77777777" w:rsidR="0083430E" w:rsidRDefault="0083430E">
            <w:pPr>
              <w:spacing w:before="20" w:after="20" w:line="240" w:lineRule="auto"/>
              <w:jc w:val="center"/>
            </w:pPr>
            <w:r>
              <w:rPr>
                <w:color w:val="000000"/>
                <w:sz w:val="18"/>
                <w:szCs w:val="18"/>
              </w:rPr>
              <w:t>X</w:t>
            </w:r>
          </w:p>
        </w:tc>
        <w:tc>
          <w:tcPr>
            <w:tcW w:w="580" w:type="dxa"/>
          </w:tcPr>
          <w:p w14:paraId="335DC803" w14:textId="590DF5C2" w:rsidR="0083430E" w:rsidRDefault="0083430E">
            <w:pPr>
              <w:spacing w:before="20" w:after="20" w:line="240" w:lineRule="auto"/>
              <w:jc w:val="center"/>
            </w:pPr>
          </w:p>
        </w:tc>
        <w:tc>
          <w:tcPr>
            <w:tcW w:w="580" w:type="dxa"/>
          </w:tcPr>
          <w:p w14:paraId="2FCEE798" w14:textId="77777777" w:rsidR="0083430E" w:rsidRDefault="0083430E">
            <w:pPr>
              <w:spacing w:before="20" w:after="20" w:line="240" w:lineRule="auto"/>
              <w:jc w:val="center"/>
            </w:pPr>
            <w:r>
              <w:rPr>
                <w:color w:val="000000"/>
                <w:sz w:val="18"/>
                <w:szCs w:val="18"/>
              </w:rPr>
              <w:t>X</w:t>
            </w:r>
          </w:p>
        </w:tc>
        <w:tc>
          <w:tcPr>
            <w:tcW w:w="580" w:type="dxa"/>
          </w:tcPr>
          <w:p w14:paraId="2F977727" w14:textId="77777777" w:rsidR="0083430E" w:rsidRDefault="0083430E">
            <w:pPr>
              <w:spacing w:before="20" w:after="20" w:line="240" w:lineRule="auto"/>
              <w:jc w:val="center"/>
            </w:pPr>
          </w:p>
        </w:tc>
        <w:tc>
          <w:tcPr>
            <w:tcW w:w="580" w:type="dxa"/>
          </w:tcPr>
          <w:p w14:paraId="60C2F134" w14:textId="77777777" w:rsidR="0083430E" w:rsidRDefault="0083430E">
            <w:pPr>
              <w:spacing w:before="20" w:after="20" w:line="240" w:lineRule="auto"/>
              <w:jc w:val="center"/>
            </w:pPr>
          </w:p>
        </w:tc>
      </w:tr>
      <w:tr w:rsidR="0083430E" w14:paraId="1D0E73A4" w14:textId="77777777" w:rsidTr="005E6EAF">
        <w:tc>
          <w:tcPr>
            <w:tcW w:w="3226" w:type="dxa"/>
          </w:tcPr>
          <w:p w14:paraId="35C04752" w14:textId="77777777" w:rsidR="0083430E" w:rsidRPr="0065684E" w:rsidRDefault="00BF6FC8">
            <w:pPr>
              <w:spacing w:before="20" w:after="20" w:line="240" w:lineRule="auto"/>
              <w:rPr>
                <w:lang w:val="en-GB"/>
              </w:rPr>
            </w:pPr>
            <w:r w:rsidRPr="0065684E">
              <w:rPr>
                <w:color w:val="000000"/>
                <w:sz w:val="18"/>
                <w:szCs w:val="18"/>
                <w:lang w:val="en-GB"/>
              </w:rPr>
              <w:t>SEBIA Step 4 — skills demonstration + sensor review</w:t>
            </w:r>
          </w:p>
        </w:tc>
        <w:tc>
          <w:tcPr>
            <w:tcW w:w="580" w:type="dxa"/>
          </w:tcPr>
          <w:p w14:paraId="2C7CF7FF" w14:textId="77777777" w:rsidR="0083430E" w:rsidRPr="0065684E" w:rsidRDefault="0083430E">
            <w:pPr>
              <w:spacing w:before="20" w:after="20" w:line="240" w:lineRule="auto"/>
              <w:jc w:val="center"/>
              <w:rPr>
                <w:lang w:val="en-GB"/>
              </w:rPr>
            </w:pPr>
          </w:p>
        </w:tc>
        <w:tc>
          <w:tcPr>
            <w:tcW w:w="580" w:type="dxa"/>
          </w:tcPr>
          <w:p w14:paraId="5142B7FE" w14:textId="77777777" w:rsidR="0083430E" w:rsidRPr="0065684E" w:rsidRDefault="0083430E">
            <w:pPr>
              <w:spacing w:before="20" w:after="20" w:line="240" w:lineRule="auto"/>
              <w:jc w:val="center"/>
              <w:rPr>
                <w:lang w:val="en-GB"/>
              </w:rPr>
            </w:pPr>
          </w:p>
        </w:tc>
        <w:tc>
          <w:tcPr>
            <w:tcW w:w="580" w:type="dxa"/>
          </w:tcPr>
          <w:p w14:paraId="07997A9F" w14:textId="77777777" w:rsidR="0083430E" w:rsidRPr="0065684E" w:rsidRDefault="0083430E">
            <w:pPr>
              <w:spacing w:before="20" w:after="20" w:line="240" w:lineRule="auto"/>
              <w:jc w:val="center"/>
              <w:rPr>
                <w:lang w:val="en-GB"/>
              </w:rPr>
            </w:pPr>
          </w:p>
        </w:tc>
        <w:tc>
          <w:tcPr>
            <w:tcW w:w="580" w:type="dxa"/>
          </w:tcPr>
          <w:p w14:paraId="2601D618" w14:textId="77777777" w:rsidR="0083430E" w:rsidRPr="0065684E" w:rsidRDefault="0083430E">
            <w:pPr>
              <w:spacing w:before="20" w:after="20" w:line="240" w:lineRule="auto"/>
              <w:jc w:val="center"/>
              <w:rPr>
                <w:lang w:val="en-GB"/>
              </w:rPr>
            </w:pPr>
          </w:p>
        </w:tc>
        <w:tc>
          <w:tcPr>
            <w:tcW w:w="580" w:type="dxa"/>
          </w:tcPr>
          <w:p w14:paraId="2F7F104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89FC75C" w14:textId="0799E7ED" w:rsidR="0083430E" w:rsidRDefault="0083430E">
            <w:pPr>
              <w:spacing w:before="20" w:after="20" w:line="240" w:lineRule="auto"/>
              <w:jc w:val="center"/>
            </w:pPr>
          </w:p>
        </w:tc>
        <w:tc>
          <w:tcPr>
            <w:tcW w:w="580" w:type="dxa"/>
          </w:tcPr>
          <w:p w14:paraId="64AFF946" w14:textId="77777777" w:rsidR="0083430E" w:rsidRDefault="0083430E">
            <w:pPr>
              <w:spacing w:before="20" w:after="20" w:line="240" w:lineRule="auto"/>
              <w:jc w:val="center"/>
            </w:pPr>
            <w:r>
              <w:rPr>
                <w:color w:val="000000"/>
                <w:sz w:val="18"/>
                <w:szCs w:val="18"/>
              </w:rPr>
              <w:t>X</w:t>
            </w:r>
          </w:p>
        </w:tc>
        <w:tc>
          <w:tcPr>
            <w:tcW w:w="580" w:type="dxa"/>
          </w:tcPr>
          <w:p w14:paraId="4DFADF00" w14:textId="36631769" w:rsidR="0083430E" w:rsidRDefault="0083430E">
            <w:pPr>
              <w:spacing w:before="20" w:after="20" w:line="240" w:lineRule="auto"/>
              <w:jc w:val="center"/>
            </w:pPr>
          </w:p>
        </w:tc>
        <w:tc>
          <w:tcPr>
            <w:tcW w:w="580" w:type="dxa"/>
          </w:tcPr>
          <w:p w14:paraId="2C49E469" w14:textId="77777777" w:rsidR="0083430E" w:rsidRDefault="0083430E">
            <w:pPr>
              <w:spacing w:before="20" w:after="20" w:line="240" w:lineRule="auto"/>
              <w:jc w:val="center"/>
            </w:pPr>
          </w:p>
        </w:tc>
        <w:tc>
          <w:tcPr>
            <w:tcW w:w="580" w:type="dxa"/>
          </w:tcPr>
          <w:p w14:paraId="29CC48B8" w14:textId="77777777" w:rsidR="0083430E" w:rsidRDefault="0083430E">
            <w:pPr>
              <w:spacing w:before="20" w:after="20" w:line="240" w:lineRule="auto"/>
              <w:jc w:val="center"/>
            </w:pPr>
          </w:p>
        </w:tc>
      </w:tr>
      <w:tr w:rsidR="0083430E" w14:paraId="7AC91C4E" w14:textId="77777777" w:rsidTr="005E6EAF">
        <w:tc>
          <w:tcPr>
            <w:tcW w:w="3226" w:type="dxa"/>
          </w:tcPr>
          <w:p w14:paraId="4E772847" w14:textId="77777777" w:rsidR="0083430E" w:rsidRPr="0065684E" w:rsidRDefault="00BF6FC8">
            <w:pPr>
              <w:spacing w:before="20" w:after="20" w:line="240" w:lineRule="auto"/>
              <w:rPr>
                <w:lang w:val="en-GB"/>
              </w:rPr>
            </w:pPr>
            <w:r w:rsidRPr="0065684E">
              <w:rPr>
                <w:color w:val="000000"/>
                <w:sz w:val="18"/>
                <w:szCs w:val="18"/>
                <w:lang w:val="en-GB"/>
              </w:rPr>
              <w:t>SEBIA Step 5 — final review, results shared</w:t>
            </w:r>
          </w:p>
        </w:tc>
        <w:tc>
          <w:tcPr>
            <w:tcW w:w="580" w:type="dxa"/>
          </w:tcPr>
          <w:p w14:paraId="4C51137E" w14:textId="77777777" w:rsidR="0083430E" w:rsidRPr="0065684E" w:rsidRDefault="0083430E">
            <w:pPr>
              <w:spacing w:before="20" w:after="20" w:line="240" w:lineRule="auto"/>
              <w:jc w:val="center"/>
              <w:rPr>
                <w:lang w:val="en-GB"/>
              </w:rPr>
            </w:pPr>
          </w:p>
        </w:tc>
        <w:tc>
          <w:tcPr>
            <w:tcW w:w="580" w:type="dxa"/>
          </w:tcPr>
          <w:p w14:paraId="5D65B199" w14:textId="77777777" w:rsidR="0083430E" w:rsidRPr="0065684E" w:rsidRDefault="0083430E">
            <w:pPr>
              <w:spacing w:before="20" w:after="20" w:line="240" w:lineRule="auto"/>
              <w:jc w:val="center"/>
              <w:rPr>
                <w:lang w:val="en-GB"/>
              </w:rPr>
            </w:pPr>
          </w:p>
        </w:tc>
        <w:tc>
          <w:tcPr>
            <w:tcW w:w="580" w:type="dxa"/>
          </w:tcPr>
          <w:p w14:paraId="215B18D8" w14:textId="77777777" w:rsidR="0083430E" w:rsidRPr="0065684E" w:rsidRDefault="0083430E">
            <w:pPr>
              <w:spacing w:before="20" w:after="20" w:line="240" w:lineRule="auto"/>
              <w:jc w:val="center"/>
              <w:rPr>
                <w:lang w:val="en-GB"/>
              </w:rPr>
            </w:pPr>
          </w:p>
        </w:tc>
        <w:tc>
          <w:tcPr>
            <w:tcW w:w="580" w:type="dxa"/>
          </w:tcPr>
          <w:p w14:paraId="3ED4DD47" w14:textId="77777777" w:rsidR="0083430E" w:rsidRPr="0065684E" w:rsidRDefault="0083430E">
            <w:pPr>
              <w:spacing w:before="20" w:after="20" w:line="240" w:lineRule="auto"/>
              <w:jc w:val="center"/>
              <w:rPr>
                <w:lang w:val="en-GB"/>
              </w:rPr>
            </w:pPr>
          </w:p>
        </w:tc>
        <w:tc>
          <w:tcPr>
            <w:tcW w:w="580" w:type="dxa"/>
          </w:tcPr>
          <w:p w14:paraId="0739B939" w14:textId="77777777" w:rsidR="0083430E" w:rsidRPr="0065684E" w:rsidRDefault="0083430E">
            <w:pPr>
              <w:spacing w:before="20" w:after="20" w:line="240" w:lineRule="auto"/>
              <w:jc w:val="center"/>
              <w:rPr>
                <w:lang w:val="en-GB"/>
              </w:rPr>
            </w:pPr>
          </w:p>
        </w:tc>
        <w:tc>
          <w:tcPr>
            <w:tcW w:w="580" w:type="dxa"/>
          </w:tcPr>
          <w:p w14:paraId="4C837DAC" w14:textId="77777777" w:rsidR="0083430E" w:rsidRPr="0065684E" w:rsidRDefault="0083430E">
            <w:pPr>
              <w:spacing w:before="20" w:after="20" w:line="240" w:lineRule="auto"/>
              <w:jc w:val="center"/>
              <w:rPr>
                <w:lang w:val="en-GB"/>
              </w:rPr>
            </w:pPr>
          </w:p>
        </w:tc>
        <w:tc>
          <w:tcPr>
            <w:tcW w:w="580" w:type="dxa"/>
          </w:tcPr>
          <w:p w14:paraId="6B7911A3" w14:textId="77777777" w:rsidR="0083430E" w:rsidRPr="0065684E" w:rsidRDefault="0083430E">
            <w:pPr>
              <w:spacing w:before="20" w:after="20" w:line="240" w:lineRule="auto"/>
              <w:jc w:val="center"/>
              <w:rPr>
                <w:lang w:val="en-GB"/>
              </w:rPr>
            </w:pPr>
          </w:p>
        </w:tc>
        <w:tc>
          <w:tcPr>
            <w:tcW w:w="580" w:type="dxa"/>
          </w:tcPr>
          <w:p w14:paraId="1EA69879" w14:textId="77777777" w:rsidR="0083430E" w:rsidRPr="0065684E" w:rsidRDefault="0083430E">
            <w:pPr>
              <w:spacing w:before="20" w:after="20" w:line="240" w:lineRule="auto"/>
              <w:jc w:val="center"/>
              <w:rPr>
                <w:lang w:val="en-GB"/>
              </w:rPr>
            </w:pPr>
          </w:p>
        </w:tc>
        <w:tc>
          <w:tcPr>
            <w:tcW w:w="580" w:type="dxa"/>
          </w:tcPr>
          <w:p w14:paraId="78340FFA" w14:textId="77777777" w:rsidR="0083430E" w:rsidRDefault="00BF6FC8">
            <w:pPr>
              <w:spacing w:before="20" w:after="20" w:line="240" w:lineRule="auto"/>
              <w:jc w:val="center"/>
            </w:pPr>
            <w:r>
              <w:rPr>
                <w:color w:val="000000"/>
                <w:sz w:val="18"/>
                <w:szCs w:val="18"/>
              </w:rPr>
              <w:t>X</w:t>
            </w:r>
          </w:p>
        </w:tc>
        <w:tc>
          <w:tcPr>
            <w:tcW w:w="580" w:type="dxa"/>
          </w:tcPr>
          <w:p w14:paraId="0055E89A" w14:textId="77777777" w:rsidR="0083430E" w:rsidRDefault="0083430E">
            <w:pPr>
              <w:spacing w:before="20" w:after="20" w:line="240" w:lineRule="auto"/>
              <w:jc w:val="center"/>
            </w:pPr>
          </w:p>
        </w:tc>
      </w:tr>
      <w:tr w:rsidR="0083430E" w14:paraId="760D963B" w14:textId="77777777" w:rsidTr="005E6EAF">
        <w:tc>
          <w:tcPr>
            <w:tcW w:w="3226" w:type="dxa"/>
          </w:tcPr>
          <w:p w14:paraId="104FDDAB" w14:textId="1285E659" w:rsidR="0083430E" w:rsidRPr="0065684E" w:rsidRDefault="00BF6FC8">
            <w:pPr>
              <w:spacing w:before="20" w:after="20" w:line="240" w:lineRule="auto"/>
              <w:rPr>
                <w:lang w:val="en-GB"/>
              </w:rPr>
            </w:pPr>
            <w:r>
              <w:rPr>
                <w:color w:val="000000"/>
                <w:sz w:val="18"/>
                <w:szCs w:val="18"/>
                <w:lang w:val="en-GB"/>
              </w:rPr>
              <w:t>CMFO and sensor check, replaced where needed</w:t>
            </w:r>
          </w:p>
        </w:tc>
        <w:tc>
          <w:tcPr>
            <w:tcW w:w="580" w:type="dxa"/>
          </w:tcPr>
          <w:p w14:paraId="62F79840" w14:textId="77777777" w:rsidR="0083430E" w:rsidRPr="0065684E" w:rsidRDefault="0083430E">
            <w:pPr>
              <w:spacing w:before="20" w:after="20" w:line="240" w:lineRule="auto"/>
              <w:jc w:val="center"/>
              <w:rPr>
                <w:lang w:val="en-GB"/>
              </w:rPr>
            </w:pPr>
          </w:p>
        </w:tc>
        <w:tc>
          <w:tcPr>
            <w:tcW w:w="580" w:type="dxa"/>
          </w:tcPr>
          <w:p w14:paraId="4F98B2C1" w14:textId="77777777" w:rsidR="0083430E" w:rsidRPr="0065684E" w:rsidRDefault="0083430E">
            <w:pPr>
              <w:spacing w:before="20" w:after="20" w:line="240" w:lineRule="auto"/>
              <w:jc w:val="center"/>
              <w:rPr>
                <w:lang w:val="en-GB"/>
              </w:rPr>
            </w:pPr>
          </w:p>
        </w:tc>
        <w:tc>
          <w:tcPr>
            <w:tcW w:w="580" w:type="dxa"/>
          </w:tcPr>
          <w:p w14:paraId="300E7858" w14:textId="77777777" w:rsidR="0083430E" w:rsidRPr="0065684E" w:rsidRDefault="0083430E">
            <w:pPr>
              <w:spacing w:before="20" w:after="20" w:line="240" w:lineRule="auto"/>
              <w:jc w:val="center"/>
              <w:rPr>
                <w:lang w:val="en-GB"/>
              </w:rPr>
            </w:pPr>
          </w:p>
        </w:tc>
        <w:tc>
          <w:tcPr>
            <w:tcW w:w="580" w:type="dxa"/>
          </w:tcPr>
          <w:p w14:paraId="362BA6D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43ABEB35" w14:textId="77777777" w:rsidR="0083430E" w:rsidRDefault="00BF6FC8">
            <w:pPr>
              <w:spacing w:before="20" w:after="20" w:line="240" w:lineRule="auto"/>
              <w:jc w:val="center"/>
            </w:pPr>
            <w:r>
              <w:rPr>
                <w:color w:val="000000"/>
                <w:sz w:val="18"/>
                <w:szCs w:val="18"/>
              </w:rPr>
              <w:t>X</w:t>
            </w:r>
          </w:p>
        </w:tc>
        <w:tc>
          <w:tcPr>
            <w:tcW w:w="580" w:type="dxa"/>
          </w:tcPr>
          <w:p w14:paraId="356B2214" w14:textId="77777777" w:rsidR="0083430E" w:rsidRDefault="0083430E">
            <w:pPr>
              <w:spacing w:before="20" w:after="20" w:line="240" w:lineRule="auto"/>
              <w:jc w:val="center"/>
            </w:pPr>
            <w:r>
              <w:rPr>
                <w:color w:val="000000"/>
                <w:sz w:val="18"/>
                <w:szCs w:val="18"/>
              </w:rPr>
              <w:t>X</w:t>
            </w:r>
          </w:p>
        </w:tc>
        <w:tc>
          <w:tcPr>
            <w:tcW w:w="580" w:type="dxa"/>
          </w:tcPr>
          <w:p w14:paraId="6A071A3A" w14:textId="77777777" w:rsidR="0083430E" w:rsidRDefault="00BF6FC8">
            <w:pPr>
              <w:spacing w:before="20" w:after="20" w:line="240" w:lineRule="auto"/>
              <w:jc w:val="center"/>
            </w:pPr>
            <w:r>
              <w:rPr>
                <w:color w:val="000000"/>
                <w:sz w:val="18"/>
                <w:szCs w:val="18"/>
              </w:rPr>
              <w:t>X</w:t>
            </w:r>
          </w:p>
        </w:tc>
        <w:tc>
          <w:tcPr>
            <w:tcW w:w="580" w:type="dxa"/>
          </w:tcPr>
          <w:p w14:paraId="2D860F6B" w14:textId="77777777" w:rsidR="0083430E" w:rsidRDefault="0083430E">
            <w:pPr>
              <w:spacing w:before="20" w:after="20" w:line="240" w:lineRule="auto"/>
              <w:jc w:val="center"/>
            </w:pPr>
            <w:r>
              <w:rPr>
                <w:color w:val="000000"/>
                <w:sz w:val="18"/>
                <w:szCs w:val="18"/>
              </w:rPr>
              <w:t>X</w:t>
            </w:r>
          </w:p>
        </w:tc>
        <w:tc>
          <w:tcPr>
            <w:tcW w:w="580" w:type="dxa"/>
          </w:tcPr>
          <w:p w14:paraId="0B0A4860" w14:textId="77777777" w:rsidR="0083430E" w:rsidRDefault="00BF6FC8">
            <w:pPr>
              <w:spacing w:before="20" w:after="20" w:line="240" w:lineRule="auto"/>
              <w:jc w:val="center"/>
            </w:pPr>
            <w:r>
              <w:rPr>
                <w:color w:val="000000"/>
                <w:sz w:val="18"/>
                <w:szCs w:val="18"/>
              </w:rPr>
              <w:t>X</w:t>
            </w:r>
          </w:p>
        </w:tc>
        <w:tc>
          <w:tcPr>
            <w:tcW w:w="580" w:type="dxa"/>
          </w:tcPr>
          <w:p w14:paraId="24874FD0" w14:textId="77777777" w:rsidR="0083430E" w:rsidRDefault="0083430E">
            <w:pPr>
              <w:spacing w:before="20" w:after="20" w:line="240" w:lineRule="auto"/>
              <w:jc w:val="center"/>
            </w:pPr>
          </w:p>
        </w:tc>
      </w:tr>
      <w:tr w:rsidR="0083430E" w14:paraId="1021375A" w14:textId="77777777" w:rsidTr="005E6EAF">
        <w:tc>
          <w:tcPr>
            <w:tcW w:w="3226" w:type="dxa"/>
          </w:tcPr>
          <w:p w14:paraId="02495411" w14:textId="77777777" w:rsidR="0083430E" w:rsidRPr="005E6EAF" w:rsidRDefault="00BF6FC8">
            <w:pPr>
              <w:spacing w:before="20" w:after="20" w:line="240" w:lineRule="auto"/>
              <w:rPr>
                <w:b/>
                <w:bCs/>
              </w:rPr>
            </w:pPr>
            <w:r w:rsidRPr="005E6EAF">
              <w:rPr>
                <w:b/>
                <w:bCs/>
                <w:color w:val="000000"/>
                <w:sz w:val="18"/>
                <w:szCs w:val="18"/>
              </w:rPr>
              <w:t>ASSESSMENTS</w:t>
            </w:r>
          </w:p>
        </w:tc>
        <w:tc>
          <w:tcPr>
            <w:tcW w:w="580" w:type="dxa"/>
          </w:tcPr>
          <w:p w14:paraId="522AC2C0" w14:textId="77777777" w:rsidR="0083430E" w:rsidRDefault="0083430E">
            <w:pPr>
              <w:spacing w:before="20" w:after="20" w:line="240" w:lineRule="auto"/>
              <w:jc w:val="center"/>
            </w:pPr>
          </w:p>
        </w:tc>
        <w:tc>
          <w:tcPr>
            <w:tcW w:w="580" w:type="dxa"/>
          </w:tcPr>
          <w:p w14:paraId="4D7E30E5" w14:textId="77777777" w:rsidR="0083430E" w:rsidRDefault="0083430E">
            <w:pPr>
              <w:spacing w:before="20" w:after="20" w:line="240" w:lineRule="auto"/>
              <w:jc w:val="center"/>
            </w:pPr>
          </w:p>
        </w:tc>
        <w:tc>
          <w:tcPr>
            <w:tcW w:w="580" w:type="dxa"/>
          </w:tcPr>
          <w:p w14:paraId="7D26964E" w14:textId="77777777" w:rsidR="0083430E" w:rsidRDefault="0083430E">
            <w:pPr>
              <w:spacing w:before="20" w:after="20" w:line="240" w:lineRule="auto"/>
              <w:jc w:val="center"/>
            </w:pPr>
          </w:p>
        </w:tc>
        <w:tc>
          <w:tcPr>
            <w:tcW w:w="580" w:type="dxa"/>
          </w:tcPr>
          <w:p w14:paraId="4C613BBA" w14:textId="77777777" w:rsidR="0083430E" w:rsidRDefault="0083430E">
            <w:pPr>
              <w:spacing w:before="20" w:after="20" w:line="240" w:lineRule="auto"/>
              <w:jc w:val="center"/>
            </w:pPr>
          </w:p>
        </w:tc>
        <w:tc>
          <w:tcPr>
            <w:tcW w:w="580" w:type="dxa"/>
          </w:tcPr>
          <w:p w14:paraId="493D1F1E" w14:textId="77777777" w:rsidR="0083430E" w:rsidRDefault="0083430E">
            <w:pPr>
              <w:spacing w:before="20" w:after="20" w:line="240" w:lineRule="auto"/>
              <w:jc w:val="center"/>
            </w:pPr>
          </w:p>
        </w:tc>
        <w:tc>
          <w:tcPr>
            <w:tcW w:w="580" w:type="dxa"/>
          </w:tcPr>
          <w:p w14:paraId="48DFA5DA" w14:textId="77777777" w:rsidR="0083430E" w:rsidRDefault="0083430E">
            <w:pPr>
              <w:spacing w:before="20" w:after="20" w:line="240" w:lineRule="auto"/>
              <w:jc w:val="center"/>
            </w:pPr>
          </w:p>
        </w:tc>
        <w:tc>
          <w:tcPr>
            <w:tcW w:w="580" w:type="dxa"/>
          </w:tcPr>
          <w:p w14:paraId="46EA81DF" w14:textId="77777777" w:rsidR="0083430E" w:rsidRDefault="0083430E">
            <w:pPr>
              <w:spacing w:before="20" w:after="20" w:line="240" w:lineRule="auto"/>
              <w:jc w:val="center"/>
            </w:pPr>
          </w:p>
        </w:tc>
        <w:tc>
          <w:tcPr>
            <w:tcW w:w="580" w:type="dxa"/>
          </w:tcPr>
          <w:p w14:paraId="2D853482" w14:textId="77777777" w:rsidR="0083430E" w:rsidRDefault="0083430E">
            <w:pPr>
              <w:spacing w:before="20" w:after="20" w:line="240" w:lineRule="auto"/>
              <w:jc w:val="center"/>
            </w:pPr>
          </w:p>
        </w:tc>
        <w:tc>
          <w:tcPr>
            <w:tcW w:w="580" w:type="dxa"/>
          </w:tcPr>
          <w:p w14:paraId="6A3C39AA" w14:textId="77777777" w:rsidR="0083430E" w:rsidRDefault="0083430E">
            <w:pPr>
              <w:spacing w:before="20" w:after="20" w:line="240" w:lineRule="auto"/>
              <w:jc w:val="center"/>
            </w:pPr>
          </w:p>
        </w:tc>
        <w:tc>
          <w:tcPr>
            <w:tcW w:w="580" w:type="dxa"/>
          </w:tcPr>
          <w:p w14:paraId="237D11D1" w14:textId="77777777" w:rsidR="0083430E" w:rsidRDefault="0083430E">
            <w:pPr>
              <w:spacing w:before="20" w:after="20" w:line="240" w:lineRule="auto"/>
              <w:jc w:val="center"/>
            </w:pPr>
          </w:p>
        </w:tc>
      </w:tr>
      <w:tr w:rsidR="0083430E" w14:paraId="7CA79D6C" w14:textId="77777777" w:rsidTr="005E6EAF">
        <w:tc>
          <w:tcPr>
            <w:tcW w:w="3226" w:type="dxa"/>
          </w:tcPr>
          <w:p w14:paraId="6555228D" w14:textId="77777777" w:rsidR="0083430E" w:rsidRPr="0065684E" w:rsidRDefault="00BF6FC8">
            <w:pPr>
              <w:spacing w:before="20" w:after="20" w:line="240" w:lineRule="auto"/>
              <w:rPr>
                <w:lang w:val="en-GB"/>
              </w:rPr>
            </w:pPr>
            <w:r w:rsidRPr="0065684E">
              <w:rPr>
                <w:color w:val="000000"/>
                <w:sz w:val="18"/>
                <w:szCs w:val="18"/>
                <w:lang w:val="en-GB"/>
              </w:rPr>
              <w:t>Demographics, medical history, foot / footwear screening</w:t>
            </w:r>
          </w:p>
        </w:tc>
        <w:tc>
          <w:tcPr>
            <w:tcW w:w="580" w:type="dxa"/>
          </w:tcPr>
          <w:p w14:paraId="0E1B7788" w14:textId="77777777" w:rsidR="0083430E" w:rsidRPr="0065684E" w:rsidRDefault="0083430E">
            <w:pPr>
              <w:spacing w:before="20" w:after="20" w:line="240" w:lineRule="auto"/>
              <w:jc w:val="center"/>
              <w:rPr>
                <w:lang w:val="en-GB"/>
              </w:rPr>
            </w:pPr>
          </w:p>
        </w:tc>
        <w:tc>
          <w:tcPr>
            <w:tcW w:w="580" w:type="dxa"/>
          </w:tcPr>
          <w:p w14:paraId="4EC55CFE" w14:textId="77777777" w:rsidR="0083430E" w:rsidRDefault="00BF6FC8">
            <w:pPr>
              <w:spacing w:before="20" w:after="20" w:line="240" w:lineRule="auto"/>
              <w:jc w:val="center"/>
            </w:pPr>
            <w:r>
              <w:rPr>
                <w:color w:val="000000"/>
                <w:sz w:val="18"/>
                <w:szCs w:val="18"/>
              </w:rPr>
              <w:t>X</w:t>
            </w:r>
          </w:p>
        </w:tc>
        <w:tc>
          <w:tcPr>
            <w:tcW w:w="580" w:type="dxa"/>
          </w:tcPr>
          <w:p w14:paraId="048D6C25" w14:textId="77777777" w:rsidR="0083430E" w:rsidRDefault="0083430E">
            <w:pPr>
              <w:spacing w:before="20" w:after="20" w:line="240" w:lineRule="auto"/>
              <w:jc w:val="center"/>
            </w:pPr>
          </w:p>
        </w:tc>
        <w:tc>
          <w:tcPr>
            <w:tcW w:w="580" w:type="dxa"/>
          </w:tcPr>
          <w:p w14:paraId="407A822F" w14:textId="77777777" w:rsidR="0083430E" w:rsidRDefault="0083430E">
            <w:pPr>
              <w:spacing w:before="20" w:after="20" w:line="240" w:lineRule="auto"/>
              <w:jc w:val="center"/>
            </w:pPr>
          </w:p>
        </w:tc>
        <w:tc>
          <w:tcPr>
            <w:tcW w:w="580" w:type="dxa"/>
          </w:tcPr>
          <w:p w14:paraId="36E12E80" w14:textId="77777777" w:rsidR="0083430E" w:rsidRDefault="0083430E">
            <w:pPr>
              <w:spacing w:before="20" w:after="20" w:line="240" w:lineRule="auto"/>
              <w:jc w:val="center"/>
            </w:pPr>
          </w:p>
        </w:tc>
        <w:tc>
          <w:tcPr>
            <w:tcW w:w="580" w:type="dxa"/>
          </w:tcPr>
          <w:p w14:paraId="77C1ADC7" w14:textId="77777777" w:rsidR="0083430E" w:rsidRDefault="0083430E">
            <w:pPr>
              <w:spacing w:before="20" w:after="20" w:line="240" w:lineRule="auto"/>
              <w:jc w:val="center"/>
            </w:pPr>
          </w:p>
        </w:tc>
        <w:tc>
          <w:tcPr>
            <w:tcW w:w="580" w:type="dxa"/>
          </w:tcPr>
          <w:p w14:paraId="5C349DDB" w14:textId="77777777" w:rsidR="0083430E" w:rsidRDefault="0083430E">
            <w:pPr>
              <w:spacing w:before="20" w:after="20" w:line="240" w:lineRule="auto"/>
              <w:jc w:val="center"/>
            </w:pPr>
          </w:p>
        </w:tc>
        <w:tc>
          <w:tcPr>
            <w:tcW w:w="580" w:type="dxa"/>
          </w:tcPr>
          <w:p w14:paraId="6998D06B" w14:textId="77777777" w:rsidR="0083430E" w:rsidRDefault="0083430E">
            <w:pPr>
              <w:spacing w:before="20" w:after="20" w:line="240" w:lineRule="auto"/>
              <w:jc w:val="center"/>
            </w:pPr>
          </w:p>
        </w:tc>
        <w:tc>
          <w:tcPr>
            <w:tcW w:w="580" w:type="dxa"/>
          </w:tcPr>
          <w:p w14:paraId="26808E5C" w14:textId="77777777" w:rsidR="0083430E" w:rsidRDefault="0083430E">
            <w:pPr>
              <w:spacing w:before="20" w:after="20" w:line="240" w:lineRule="auto"/>
              <w:jc w:val="center"/>
            </w:pPr>
          </w:p>
        </w:tc>
        <w:tc>
          <w:tcPr>
            <w:tcW w:w="580" w:type="dxa"/>
          </w:tcPr>
          <w:p w14:paraId="2CE23212" w14:textId="77777777" w:rsidR="0083430E" w:rsidRDefault="0083430E">
            <w:pPr>
              <w:spacing w:before="20" w:after="20" w:line="240" w:lineRule="auto"/>
              <w:jc w:val="center"/>
            </w:pPr>
          </w:p>
        </w:tc>
      </w:tr>
      <w:tr w:rsidR="0083430E" w14:paraId="53F6EF46" w14:textId="77777777" w:rsidTr="005E6EAF">
        <w:tc>
          <w:tcPr>
            <w:tcW w:w="3226" w:type="dxa"/>
          </w:tcPr>
          <w:p w14:paraId="454F43FA" w14:textId="77777777" w:rsidR="0083430E" w:rsidRDefault="00BF6FC8">
            <w:pPr>
              <w:spacing w:before="20" w:after="20" w:line="240" w:lineRule="auto"/>
            </w:pPr>
            <w:r>
              <w:rPr>
                <w:color w:val="000000"/>
                <w:sz w:val="18"/>
                <w:szCs w:val="18"/>
              </w:rPr>
              <w:t>Plantar pressure measurement (Novel pedar); usual care only at baseline and 6 months, blinded</w:t>
            </w:r>
          </w:p>
        </w:tc>
        <w:tc>
          <w:tcPr>
            <w:tcW w:w="580" w:type="dxa"/>
          </w:tcPr>
          <w:p w14:paraId="0CEF9E86" w14:textId="77777777" w:rsidR="0083430E" w:rsidRDefault="0083430E">
            <w:pPr>
              <w:spacing w:before="20" w:after="20" w:line="240" w:lineRule="auto"/>
              <w:jc w:val="center"/>
            </w:pPr>
          </w:p>
        </w:tc>
        <w:tc>
          <w:tcPr>
            <w:tcW w:w="580" w:type="dxa"/>
          </w:tcPr>
          <w:p w14:paraId="5FA11FD8" w14:textId="77777777" w:rsidR="0083430E" w:rsidRDefault="00BF6FC8">
            <w:pPr>
              <w:spacing w:before="20" w:after="20" w:line="240" w:lineRule="auto"/>
              <w:jc w:val="center"/>
            </w:pPr>
            <w:r>
              <w:rPr>
                <w:color w:val="000000"/>
                <w:sz w:val="18"/>
                <w:szCs w:val="18"/>
              </w:rPr>
              <w:t>X</w:t>
            </w:r>
          </w:p>
        </w:tc>
        <w:tc>
          <w:tcPr>
            <w:tcW w:w="580" w:type="dxa"/>
          </w:tcPr>
          <w:p w14:paraId="434F7EE8" w14:textId="77777777" w:rsidR="0083430E" w:rsidRDefault="0083430E">
            <w:pPr>
              <w:spacing w:before="20" w:after="20" w:line="240" w:lineRule="auto"/>
              <w:jc w:val="center"/>
            </w:pPr>
            <w:r>
              <w:rPr>
                <w:sz w:val="18"/>
                <w:szCs w:val="18"/>
              </w:rPr>
              <w:t>X</w:t>
            </w:r>
          </w:p>
        </w:tc>
        <w:tc>
          <w:tcPr>
            <w:tcW w:w="580" w:type="dxa"/>
          </w:tcPr>
          <w:p w14:paraId="5BC45129" w14:textId="77777777" w:rsidR="0083430E" w:rsidRDefault="0083430E">
            <w:pPr>
              <w:spacing w:before="20" w:after="20" w:line="240" w:lineRule="auto"/>
              <w:jc w:val="center"/>
            </w:pPr>
          </w:p>
        </w:tc>
        <w:tc>
          <w:tcPr>
            <w:tcW w:w="580" w:type="dxa"/>
          </w:tcPr>
          <w:p w14:paraId="156A8BA8" w14:textId="77777777" w:rsidR="0083430E" w:rsidRDefault="00BF6FC8">
            <w:pPr>
              <w:spacing w:before="20" w:after="20" w:line="240" w:lineRule="auto"/>
              <w:jc w:val="center"/>
            </w:pPr>
            <w:r>
              <w:rPr>
                <w:color w:val="000000"/>
                <w:sz w:val="18"/>
                <w:szCs w:val="18"/>
              </w:rPr>
              <w:t>X</w:t>
            </w:r>
          </w:p>
        </w:tc>
        <w:tc>
          <w:tcPr>
            <w:tcW w:w="580" w:type="dxa"/>
          </w:tcPr>
          <w:p w14:paraId="337C65E1" w14:textId="77777777" w:rsidR="0083430E" w:rsidRDefault="0083430E">
            <w:pPr>
              <w:spacing w:before="20" w:after="20" w:line="240" w:lineRule="auto"/>
              <w:jc w:val="center"/>
            </w:pPr>
          </w:p>
        </w:tc>
        <w:tc>
          <w:tcPr>
            <w:tcW w:w="580" w:type="dxa"/>
          </w:tcPr>
          <w:p w14:paraId="465D24E8" w14:textId="77777777" w:rsidR="0083430E" w:rsidRDefault="00BF6FC8">
            <w:pPr>
              <w:spacing w:before="20" w:after="20" w:line="240" w:lineRule="auto"/>
              <w:jc w:val="center"/>
            </w:pPr>
            <w:r>
              <w:rPr>
                <w:color w:val="000000"/>
                <w:sz w:val="18"/>
                <w:szCs w:val="18"/>
              </w:rPr>
              <w:t>X</w:t>
            </w:r>
          </w:p>
        </w:tc>
        <w:tc>
          <w:tcPr>
            <w:tcW w:w="580" w:type="dxa"/>
          </w:tcPr>
          <w:p w14:paraId="7E5DACA6" w14:textId="77777777" w:rsidR="0083430E" w:rsidRDefault="0083430E">
            <w:pPr>
              <w:spacing w:before="20" w:after="20" w:line="240" w:lineRule="auto"/>
              <w:jc w:val="center"/>
            </w:pPr>
          </w:p>
        </w:tc>
        <w:tc>
          <w:tcPr>
            <w:tcW w:w="580" w:type="dxa"/>
          </w:tcPr>
          <w:p w14:paraId="6AB54A5F" w14:textId="77777777" w:rsidR="0083430E" w:rsidRDefault="00BF6FC8">
            <w:pPr>
              <w:spacing w:before="20" w:after="20" w:line="240" w:lineRule="auto"/>
              <w:jc w:val="center"/>
            </w:pPr>
            <w:r>
              <w:rPr>
                <w:color w:val="000000"/>
                <w:sz w:val="18"/>
                <w:szCs w:val="18"/>
              </w:rPr>
              <w:t>X</w:t>
            </w:r>
          </w:p>
        </w:tc>
        <w:tc>
          <w:tcPr>
            <w:tcW w:w="580" w:type="dxa"/>
          </w:tcPr>
          <w:p w14:paraId="47F31845" w14:textId="77777777" w:rsidR="0083430E" w:rsidRDefault="0083430E">
            <w:pPr>
              <w:spacing w:before="20" w:after="20" w:line="240" w:lineRule="auto"/>
              <w:jc w:val="center"/>
            </w:pPr>
          </w:p>
        </w:tc>
      </w:tr>
      <w:tr w:rsidR="0083430E" w14:paraId="1D26CD21" w14:textId="77777777" w:rsidTr="005E6EAF">
        <w:tc>
          <w:tcPr>
            <w:tcW w:w="3226" w:type="dxa"/>
          </w:tcPr>
          <w:p w14:paraId="434632F6" w14:textId="35E29795" w:rsidR="0083430E" w:rsidRPr="0065684E" w:rsidRDefault="00BF6FC8">
            <w:pPr>
              <w:spacing w:before="20" w:after="20" w:line="240" w:lineRule="auto"/>
              <w:rPr>
                <w:lang w:val="en-GB"/>
              </w:rPr>
            </w:pPr>
            <w:r>
              <w:rPr>
                <w:color w:val="000000"/>
                <w:sz w:val="18"/>
                <w:szCs w:val="18"/>
                <w:lang w:val="en-GB"/>
              </w:rPr>
              <w:t>Foot-care behaviour (NAFF) / health literacy; NAFF repeated at V2 in PARADISE</w:t>
            </w:r>
          </w:p>
        </w:tc>
        <w:tc>
          <w:tcPr>
            <w:tcW w:w="580" w:type="dxa"/>
          </w:tcPr>
          <w:p w14:paraId="771DDBBC" w14:textId="77777777" w:rsidR="0083430E" w:rsidRPr="0065684E" w:rsidRDefault="0083430E">
            <w:pPr>
              <w:spacing w:before="20" w:after="20" w:line="240" w:lineRule="auto"/>
              <w:jc w:val="center"/>
              <w:rPr>
                <w:lang w:val="en-GB"/>
              </w:rPr>
            </w:pPr>
          </w:p>
        </w:tc>
        <w:tc>
          <w:tcPr>
            <w:tcW w:w="580" w:type="dxa"/>
          </w:tcPr>
          <w:p w14:paraId="4F83A95E" w14:textId="77777777" w:rsidR="0083430E" w:rsidRDefault="00BF6FC8">
            <w:pPr>
              <w:spacing w:before="20" w:after="20" w:line="240" w:lineRule="auto"/>
              <w:jc w:val="center"/>
            </w:pPr>
            <w:r>
              <w:rPr>
                <w:color w:val="000000"/>
                <w:sz w:val="18"/>
                <w:szCs w:val="18"/>
              </w:rPr>
              <w:t>X</w:t>
            </w:r>
          </w:p>
        </w:tc>
        <w:tc>
          <w:tcPr>
            <w:tcW w:w="580" w:type="dxa"/>
          </w:tcPr>
          <w:p w14:paraId="09054E8C" w14:textId="77777777" w:rsidR="0083430E" w:rsidRDefault="0083430E">
            <w:pPr>
              <w:spacing w:before="20" w:after="20" w:line="240" w:lineRule="auto"/>
              <w:jc w:val="center"/>
            </w:pPr>
            <w:r>
              <w:rPr>
                <w:color w:val="000000"/>
                <w:sz w:val="18"/>
                <w:szCs w:val="18"/>
              </w:rPr>
              <w:t>X</w:t>
            </w:r>
          </w:p>
        </w:tc>
        <w:tc>
          <w:tcPr>
            <w:tcW w:w="580" w:type="dxa"/>
          </w:tcPr>
          <w:p w14:paraId="2BA30AB5" w14:textId="50DE1242" w:rsidR="0083430E" w:rsidRDefault="0083430E">
            <w:pPr>
              <w:spacing w:before="20" w:after="20" w:line="240" w:lineRule="auto"/>
              <w:jc w:val="center"/>
            </w:pPr>
          </w:p>
        </w:tc>
        <w:tc>
          <w:tcPr>
            <w:tcW w:w="580" w:type="dxa"/>
          </w:tcPr>
          <w:p w14:paraId="28DE7DEC" w14:textId="77777777" w:rsidR="0083430E" w:rsidRDefault="0083430E">
            <w:pPr>
              <w:spacing w:before="20" w:after="20" w:line="240" w:lineRule="auto"/>
              <w:jc w:val="center"/>
            </w:pPr>
          </w:p>
        </w:tc>
        <w:tc>
          <w:tcPr>
            <w:tcW w:w="580" w:type="dxa"/>
          </w:tcPr>
          <w:p w14:paraId="7A919B1A" w14:textId="726F53BA" w:rsidR="0083430E" w:rsidRDefault="0083430E">
            <w:pPr>
              <w:spacing w:before="20" w:after="20" w:line="240" w:lineRule="auto"/>
              <w:jc w:val="center"/>
            </w:pPr>
          </w:p>
        </w:tc>
        <w:tc>
          <w:tcPr>
            <w:tcW w:w="580" w:type="dxa"/>
          </w:tcPr>
          <w:p w14:paraId="3EF82284" w14:textId="77777777" w:rsidR="0083430E" w:rsidRDefault="0083430E">
            <w:pPr>
              <w:spacing w:before="20" w:after="20" w:line="240" w:lineRule="auto"/>
              <w:jc w:val="center"/>
            </w:pPr>
          </w:p>
        </w:tc>
        <w:tc>
          <w:tcPr>
            <w:tcW w:w="580" w:type="dxa"/>
          </w:tcPr>
          <w:p w14:paraId="5050F559" w14:textId="33EBFA09" w:rsidR="0083430E" w:rsidRDefault="0083430E">
            <w:pPr>
              <w:spacing w:before="20" w:after="20" w:line="240" w:lineRule="auto"/>
              <w:jc w:val="center"/>
            </w:pPr>
          </w:p>
        </w:tc>
        <w:tc>
          <w:tcPr>
            <w:tcW w:w="580" w:type="dxa"/>
          </w:tcPr>
          <w:p w14:paraId="4CE1378A" w14:textId="77777777" w:rsidR="0083430E" w:rsidRDefault="0083430E">
            <w:pPr>
              <w:spacing w:before="20" w:after="20" w:line="240" w:lineRule="auto"/>
              <w:jc w:val="center"/>
            </w:pPr>
          </w:p>
        </w:tc>
        <w:tc>
          <w:tcPr>
            <w:tcW w:w="580" w:type="dxa"/>
          </w:tcPr>
          <w:p w14:paraId="771C8BA9" w14:textId="77777777" w:rsidR="0083430E" w:rsidRDefault="0083430E">
            <w:pPr>
              <w:spacing w:before="20" w:after="20" w:line="240" w:lineRule="auto"/>
              <w:jc w:val="center"/>
            </w:pPr>
          </w:p>
        </w:tc>
      </w:tr>
      <w:tr w:rsidR="0083430E" w14:paraId="1BFBE890" w14:textId="77777777" w:rsidTr="005E6EAF">
        <w:tc>
          <w:tcPr>
            <w:tcW w:w="3226" w:type="dxa"/>
          </w:tcPr>
          <w:p w14:paraId="749832D7" w14:textId="77777777" w:rsidR="0083430E" w:rsidRDefault="00BF6FC8">
            <w:pPr>
              <w:spacing w:before="20" w:after="20" w:line="240" w:lineRule="auto"/>
            </w:pPr>
            <w:r>
              <w:rPr>
                <w:color w:val="000000"/>
                <w:sz w:val="18"/>
                <w:szCs w:val="18"/>
              </w:rPr>
              <w:t>PEDIS / WIfI ulcer classification</w:t>
            </w:r>
          </w:p>
        </w:tc>
        <w:tc>
          <w:tcPr>
            <w:tcW w:w="580" w:type="dxa"/>
          </w:tcPr>
          <w:p w14:paraId="0DE369BB" w14:textId="77777777" w:rsidR="0083430E" w:rsidRDefault="0083430E">
            <w:pPr>
              <w:spacing w:before="20" w:after="20" w:line="240" w:lineRule="auto"/>
              <w:jc w:val="center"/>
            </w:pPr>
          </w:p>
        </w:tc>
        <w:tc>
          <w:tcPr>
            <w:tcW w:w="580" w:type="dxa"/>
          </w:tcPr>
          <w:p w14:paraId="685BD5B7" w14:textId="77777777" w:rsidR="0083430E" w:rsidRDefault="0083430E">
            <w:pPr>
              <w:spacing w:before="20" w:after="20" w:line="240" w:lineRule="auto"/>
              <w:jc w:val="center"/>
            </w:pPr>
          </w:p>
        </w:tc>
        <w:tc>
          <w:tcPr>
            <w:tcW w:w="580" w:type="dxa"/>
          </w:tcPr>
          <w:p w14:paraId="2622C2D2" w14:textId="77777777" w:rsidR="0083430E" w:rsidRDefault="00BF6FC8">
            <w:pPr>
              <w:spacing w:before="20" w:after="20" w:line="240" w:lineRule="auto"/>
              <w:jc w:val="center"/>
            </w:pPr>
            <w:r>
              <w:rPr>
                <w:color w:val="000000"/>
                <w:sz w:val="18"/>
                <w:szCs w:val="18"/>
              </w:rPr>
              <w:t>X</w:t>
            </w:r>
          </w:p>
        </w:tc>
        <w:tc>
          <w:tcPr>
            <w:tcW w:w="580" w:type="dxa"/>
          </w:tcPr>
          <w:p w14:paraId="1E98B700" w14:textId="77777777" w:rsidR="0083430E" w:rsidRDefault="00BF6FC8">
            <w:pPr>
              <w:spacing w:before="20" w:after="20" w:line="240" w:lineRule="auto"/>
              <w:jc w:val="center"/>
            </w:pPr>
            <w:r>
              <w:rPr>
                <w:color w:val="000000"/>
                <w:sz w:val="18"/>
                <w:szCs w:val="18"/>
              </w:rPr>
              <w:t>X</w:t>
            </w:r>
          </w:p>
        </w:tc>
        <w:tc>
          <w:tcPr>
            <w:tcW w:w="580" w:type="dxa"/>
          </w:tcPr>
          <w:p w14:paraId="63B14421" w14:textId="77777777" w:rsidR="0083430E" w:rsidRDefault="00BF6FC8">
            <w:pPr>
              <w:spacing w:before="20" w:after="20" w:line="240" w:lineRule="auto"/>
              <w:jc w:val="center"/>
            </w:pPr>
            <w:r>
              <w:rPr>
                <w:color w:val="000000"/>
                <w:sz w:val="18"/>
                <w:szCs w:val="18"/>
              </w:rPr>
              <w:t>X</w:t>
            </w:r>
          </w:p>
        </w:tc>
        <w:tc>
          <w:tcPr>
            <w:tcW w:w="580" w:type="dxa"/>
          </w:tcPr>
          <w:p w14:paraId="228F8A9E" w14:textId="77777777" w:rsidR="0083430E" w:rsidRDefault="00BF6FC8">
            <w:pPr>
              <w:spacing w:before="20" w:after="20" w:line="240" w:lineRule="auto"/>
              <w:jc w:val="center"/>
            </w:pPr>
            <w:r>
              <w:rPr>
                <w:color w:val="000000"/>
                <w:sz w:val="18"/>
                <w:szCs w:val="18"/>
              </w:rPr>
              <w:t>X</w:t>
            </w:r>
          </w:p>
        </w:tc>
        <w:tc>
          <w:tcPr>
            <w:tcW w:w="580" w:type="dxa"/>
          </w:tcPr>
          <w:p w14:paraId="77C5A710" w14:textId="77777777" w:rsidR="0083430E" w:rsidRDefault="00BF6FC8">
            <w:pPr>
              <w:spacing w:before="20" w:after="20" w:line="240" w:lineRule="auto"/>
              <w:jc w:val="center"/>
            </w:pPr>
            <w:r>
              <w:rPr>
                <w:color w:val="000000"/>
                <w:sz w:val="18"/>
                <w:szCs w:val="18"/>
              </w:rPr>
              <w:t>X</w:t>
            </w:r>
          </w:p>
        </w:tc>
        <w:tc>
          <w:tcPr>
            <w:tcW w:w="580" w:type="dxa"/>
          </w:tcPr>
          <w:p w14:paraId="74A6FE94" w14:textId="77777777" w:rsidR="0083430E" w:rsidRDefault="00BF6FC8">
            <w:pPr>
              <w:spacing w:before="20" w:after="20" w:line="240" w:lineRule="auto"/>
              <w:jc w:val="center"/>
            </w:pPr>
            <w:r>
              <w:rPr>
                <w:color w:val="000000"/>
                <w:sz w:val="18"/>
                <w:szCs w:val="18"/>
              </w:rPr>
              <w:t>X</w:t>
            </w:r>
          </w:p>
        </w:tc>
        <w:tc>
          <w:tcPr>
            <w:tcW w:w="580" w:type="dxa"/>
          </w:tcPr>
          <w:p w14:paraId="45817804" w14:textId="77777777" w:rsidR="0083430E" w:rsidRDefault="00BF6FC8">
            <w:pPr>
              <w:spacing w:before="20" w:after="20" w:line="240" w:lineRule="auto"/>
              <w:jc w:val="center"/>
            </w:pPr>
            <w:r>
              <w:rPr>
                <w:color w:val="000000"/>
                <w:sz w:val="18"/>
                <w:szCs w:val="18"/>
              </w:rPr>
              <w:t>X</w:t>
            </w:r>
          </w:p>
        </w:tc>
        <w:tc>
          <w:tcPr>
            <w:tcW w:w="580" w:type="dxa"/>
          </w:tcPr>
          <w:p w14:paraId="12E5FBDC" w14:textId="77777777" w:rsidR="0083430E" w:rsidRDefault="00BF6FC8">
            <w:pPr>
              <w:spacing w:before="20" w:after="20" w:line="240" w:lineRule="auto"/>
              <w:jc w:val="center"/>
            </w:pPr>
            <w:r>
              <w:rPr>
                <w:color w:val="000000"/>
                <w:sz w:val="18"/>
                <w:szCs w:val="18"/>
              </w:rPr>
              <w:t>X</w:t>
            </w:r>
          </w:p>
        </w:tc>
      </w:tr>
      <w:tr w:rsidR="0083430E" w14:paraId="0FAA08A9" w14:textId="77777777" w:rsidTr="005E6EAF">
        <w:tc>
          <w:tcPr>
            <w:tcW w:w="3226" w:type="dxa"/>
          </w:tcPr>
          <w:p w14:paraId="2A159449" w14:textId="77777777" w:rsidR="0083430E" w:rsidRPr="0065684E" w:rsidRDefault="00BF6FC8">
            <w:pPr>
              <w:spacing w:before="20" w:after="20" w:line="240" w:lineRule="auto"/>
              <w:rPr>
                <w:lang w:val="en-GB"/>
              </w:rPr>
            </w:pPr>
            <w:r w:rsidRPr="0065684E">
              <w:rPr>
                <w:color w:val="000000"/>
                <w:sz w:val="18"/>
                <w:szCs w:val="18"/>
                <w:lang w:val="en-GB"/>
              </w:rPr>
              <w:t>Footwear wear-and-tear / usability</w:t>
            </w:r>
          </w:p>
        </w:tc>
        <w:tc>
          <w:tcPr>
            <w:tcW w:w="580" w:type="dxa"/>
          </w:tcPr>
          <w:p w14:paraId="18E6824C" w14:textId="77777777" w:rsidR="0083430E" w:rsidRPr="0065684E" w:rsidRDefault="0083430E">
            <w:pPr>
              <w:spacing w:before="20" w:after="20" w:line="240" w:lineRule="auto"/>
              <w:jc w:val="center"/>
              <w:rPr>
                <w:lang w:val="en-GB"/>
              </w:rPr>
            </w:pPr>
          </w:p>
        </w:tc>
        <w:tc>
          <w:tcPr>
            <w:tcW w:w="580" w:type="dxa"/>
          </w:tcPr>
          <w:p w14:paraId="5E2165EA" w14:textId="77777777" w:rsidR="0083430E" w:rsidRPr="0065684E" w:rsidRDefault="0083430E">
            <w:pPr>
              <w:spacing w:before="20" w:after="20" w:line="240" w:lineRule="auto"/>
              <w:jc w:val="center"/>
              <w:rPr>
                <w:lang w:val="en-GB"/>
              </w:rPr>
            </w:pPr>
          </w:p>
        </w:tc>
        <w:tc>
          <w:tcPr>
            <w:tcW w:w="580" w:type="dxa"/>
          </w:tcPr>
          <w:p w14:paraId="424FA6B6" w14:textId="77777777" w:rsidR="0083430E" w:rsidRDefault="00BF6FC8">
            <w:pPr>
              <w:spacing w:before="20" w:after="20" w:line="240" w:lineRule="auto"/>
              <w:jc w:val="center"/>
            </w:pPr>
            <w:r>
              <w:rPr>
                <w:color w:val="000000"/>
                <w:sz w:val="18"/>
                <w:szCs w:val="18"/>
              </w:rPr>
              <w:t>X</w:t>
            </w:r>
          </w:p>
        </w:tc>
        <w:tc>
          <w:tcPr>
            <w:tcW w:w="580" w:type="dxa"/>
          </w:tcPr>
          <w:p w14:paraId="04BB72C1" w14:textId="77777777" w:rsidR="0083430E" w:rsidRDefault="0083430E">
            <w:pPr>
              <w:spacing w:before="20" w:after="20" w:line="240" w:lineRule="auto"/>
              <w:jc w:val="center"/>
            </w:pPr>
          </w:p>
        </w:tc>
        <w:tc>
          <w:tcPr>
            <w:tcW w:w="580" w:type="dxa"/>
          </w:tcPr>
          <w:p w14:paraId="262E1967" w14:textId="77777777" w:rsidR="0083430E" w:rsidRDefault="00BF6FC8">
            <w:pPr>
              <w:spacing w:before="20" w:after="20" w:line="240" w:lineRule="auto"/>
              <w:jc w:val="center"/>
            </w:pPr>
            <w:r>
              <w:rPr>
                <w:color w:val="000000"/>
                <w:sz w:val="18"/>
                <w:szCs w:val="18"/>
              </w:rPr>
              <w:t>X</w:t>
            </w:r>
          </w:p>
        </w:tc>
        <w:tc>
          <w:tcPr>
            <w:tcW w:w="580" w:type="dxa"/>
          </w:tcPr>
          <w:p w14:paraId="51913C3D" w14:textId="77777777" w:rsidR="0083430E" w:rsidRDefault="0083430E">
            <w:pPr>
              <w:spacing w:before="20" w:after="20" w:line="240" w:lineRule="auto"/>
              <w:jc w:val="center"/>
            </w:pPr>
          </w:p>
        </w:tc>
        <w:tc>
          <w:tcPr>
            <w:tcW w:w="580" w:type="dxa"/>
          </w:tcPr>
          <w:p w14:paraId="4BC0D65D" w14:textId="77777777" w:rsidR="0083430E" w:rsidRDefault="00BF6FC8">
            <w:pPr>
              <w:spacing w:before="20" w:after="20" w:line="240" w:lineRule="auto"/>
              <w:jc w:val="center"/>
            </w:pPr>
            <w:r>
              <w:rPr>
                <w:color w:val="000000"/>
                <w:sz w:val="18"/>
                <w:szCs w:val="18"/>
              </w:rPr>
              <w:t>X</w:t>
            </w:r>
          </w:p>
        </w:tc>
        <w:tc>
          <w:tcPr>
            <w:tcW w:w="580" w:type="dxa"/>
          </w:tcPr>
          <w:p w14:paraId="3FEC7E55" w14:textId="77777777" w:rsidR="0083430E" w:rsidRDefault="0083430E">
            <w:pPr>
              <w:spacing w:before="20" w:after="20" w:line="240" w:lineRule="auto"/>
              <w:jc w:val="center"/>
            </w:pPr>
          </w:p>
        </w:tc>
        <w:tc>
          <w:tcPr>
            <w:tcW w:w="580" w:type="dxa"/>
          </w:tcPr>
          <w:p w14:paraId="6EB766D5" w14:textId="77777777" w:rsidR="0083430E" w:rsidRDefault="00BF6FC8">
            <w:pPr>
              <w:spacing w:before="20" w:after="20" w:line="240" w:lineRule="auto"/>
              <w:jc w:val="center"/>
            </w:pPr>
            <w:r>
              <w:rPr>
                <w:color w:val="000000"/>
                <w:sz w:val="18"/>
                <w:szCs w:val="18"/>
              </w:rPr>
              <w:t>X</w:t>
            </w:r>
          </w:p>
        </w:tc>
        <w:tc>
          <w:tcPr>
            <w:tcW w:w="580" w:type="dxa"/>
          </w:tcPr>
          <w:p w14:paraId="0CF0DF0F" w14:textId="77777777" w:rsidR="0083430E" w:rsidRDefault="0083430E">
            <w:pPr>
              <w:spacing w:before="20" w:after="20" w:line="240" w:lineRule="auto"/>
              <w:jc w:val="center"/>
            </w:pPr>
          </w:p>
        </w:tc>
      </w:tr>
      <w:tr w:rsidR="0083430E" w14:paraId="00B3F88D" w14:textId="77777777" w:rsidTr="005E6EAF">
        <w:tc>
          <w:tcPr>
            <w:tcW w:w="3226" w:type="dxa"/>
          </w:tcPr>
          <w:p w14:paraId="091AF671" w14:textId="77777777" w:rsidR="0083430E" w:rsidRPr="0065684E" w:rsidRDefault="00BF6FC8">
            <w:pPr>
              <w:spacing w:before="20" w:after="20" w:line="240" w:lineRule="auto"/>
              <w:rPr>
                <w:lang w:val="en-GB"/>
              </w:rPr>
            </w:pPr>
            <w:r w:rsidRPr="0065684E">
              <w:rPr>
                <w:color w:val="000000"/>
                <w:sz w:val="18"/>
                <w:szCs w:val="18"/>
                <w:lang w:val="en-GB"/>
              </w:rPr>
              <w:t>EQ-5D-5L (health-related quality of life)</w:t>
            </w:r>
          </w:p>
        </w:tc>
        <w:tc>
          <w:tcPr>
            <w:tcW w:w="580" w:type="dxa"/>
          </w:tcPr>
          <w:p w14:paraId="6A6D059F" w14:textId="77777777" w:rsidR="0083430E" w:rsidRPr="0065684E" w:rsidRDefault="0083430E">
            <w:pPr>
              <w:spacing w:before="20" w:after="20" w:line="240" w:lineRule="auto"/>
              <w:jc w:val="center"/>
              <w:rPr>
                <w:lang w:val="en-GB"/>
              </w:rPr>
            </w:pPr>
          </w:p>
        </w:tc>
        <w:tc>
          <w:tcPr>
            <w:tcW w:w="580" w:type="dxa"/>
          </w:tcPr>
          <w:p w14:paraId="737D83EB" w14:textId="77777777" w:rsidR="0083430E" w:rsidRDefault="00BF6FC8">
            <w:pPr>
              <w:spacing w:before="20" w:after="20" w:line="240" w:lineRule="auto"/>
              <w:jc w:val="center"/>
            </w:pPr>
            <w:r>
              <w:rPr>
                <w:color w:val="000000"/>
                <w:sz w:val="18"/>
                <w:szCs w:val="18"/>
              </w:rPr>
              <w:t>X</w:t>
            </w:r>
          </w:p>
        </w:tc>
        <w:tc>
          <w:tcPr>
            <w:tcW w:w="580" w:type="dxa"/>
          </w:tcPr>
          <w:p w14:paraId="313AC270" w14:textId="77777777" w:rsidR="0083430E" w:rsidRDefault="0083430E">
            <w:pPr>
              <w:spacing w:before="20" w:after="20" w:line="240" w:lineRule="auto"/>
              <w:jc w:val="center"/>
            </w:pPr>
          </w:p>
        </w:tc>
        <w:tc>
          <w:tcPr>
            <w:tcW w:w="580" w:type="dxa"/>
          </w:tcPr>
          <w:p w14:paraId="3642041A" w14:textId="77777777" w:rsidR="0083430E" w:rsidRDefault="00BF6FC8">
            <w:pPr>
              <w:spacing w:before="20" w:after="20" w:line="240" w:lineRule="auto"/>
              <w:jc w:val="center"/>
            </w:pPr>
            <w:r>
              <w:rPr>
                <w:color w:val="000000"/>
                <w:sz w:val="18"/>
                <w:szCs w:val="18"/>
              </w:rPr>
              <w:t>X</w:t>
            </w:r>
          </w:p>
        </w:tc>
        <w:tc>
          <w:tcPr>
            <w:tcW w:w="580" w:type="dxa"/>
          </w:tcPr>
          <w:p w14:paraId="1DA422E1" w14:textId="77777777" w:rsidR="0083430E" w:rsidRDefault="00BF6FC8">
            <w:pPr>
              <w:spacing w:before="20" w:after="20" w:line="240" w:lineRule="auto"/>
              <w:jc w:val="center"/>
            </w:pPr>
            <w:r>
              <w:rPr>
                <w:color w:val="000000"/>
                <w:sz w:val="18"/>
                <w:szCs w:val="18"/>
              </w:rPr>
              <w:t>X</w:t>
            </w:r>
          </w:p>
        </w:tc>
        <w:tc>
          <w:tcPr>
            <w:tcW w:w="580" w:type="dxa"/>
          </w:tcPr>
          <w:p w14:paraId="3CDAC584" w14:textId="77777777" w:rsidR="0083430E" w:rsidRDefault="00BF6FC8">
            <w:pPr>
              <w:spacing w:before="20" w:after="20" w:line="240" w:lineRule="auto"/>
              <w:jc w:val="center"/>
            </w:pPr>
            <w:r>
              <w:rPr>
                <w:color w:val="000000"/>
                <w:sz w:val="18"/>
                <w:szCs w:val="18"/>
              </w:rPr>
              <w:t>X</w:t>
            </w:r>
          </w:p>
        </w:tc>
        <w:tc>
          <w:tcPr>
            <w:tcW w:w="580" w:type="dxa"/>
          </w:tcPr>
          <w:p w14:paraId="2FD82023" w14:textId="77777777" w:rsidR="0083430E" w:rsidRDefault="00BF6FC8">
            <w:pPr>
              <w:spacing w:before="20" w:after="20" w:line="240" w:lineRule="auto"/>
              <w:jc w:val="center"/>
            </w:pPr>
            <w:r>
              <w:rPr>
                <w:color w:val="000000"/>
                <w:sz w:val="18"/>
                <w:szCs w:val="18"/>
              </w:rPr>
              <w:t>X</w:t>
            </w:r>
          </w:p>
        </w:tc>
        <w:tc>
          <w:tcPr>
            <w:tcW w:w="580" w:type="dxa"/>
          </w:tcPr>
          <w:p w14:paraId="1155A7A0" w14:textId="77777777" w:rsidR="0083430E" w:rsidRDefault="00BF6FC8">
            <w:pPr>
              <w:spacing w:before="20" w:after="20" w:line="240" w:lineRule="auto"/>
              <w:jc w:val="center"/>
            </w:pPr>
            <w:r>
              <w:rPr>
                <w:color w:val="000000"/>
                <w:sz w:val="18"/>
                <w:szCs w:val="18"/>
              </w:rPr>
              <w:t>X</w:t>
            </w:r>
          </w:p>
        </w:tc>
        <w:tc>
          <w:tcPr>
            <w:tcW w:w="580" w:type="dxa"/>
          </w:tcPr>
          <w:p w14:paraId="1E0C4E7D" w14:textId="77777777" w:rsidR="0083430E" w:rsidRDefault="00BF6FC8">
            <w:pPr>
              <w:spacing w:before="20" w:after="20" w:line="240" w:lineRule="auto"/>
              <w:jc w:val="center"/>
            </w:pPr>
            <w:r>
              <w:rPr>
                <w:color w:val="000000"/>
                <w:sz w:val="18"/>
                <w:szCs w:val="18"/>
              </w:rPr>
              <w:t>X</w:t>
            </w:r>
          </w:p>
        </w:tc>
        <w:tc>
          <w:tcPr>
            <w:tcW w:w="580" w:type="dxa"/>
          </w:tcPr>
          <w:p w14:paraId="592BCF13" w14:textId="77777777" w:rsidR="0083430E" w:rsidRDefault="0083430E">
            <w:pPr>
              <w:spacing w:before="20" w:after="20" w:line="240" w:lineRule="auto"/>
              <w:jc w:val="center"/>
            </w:pPr>
          </w:p>
        </w:tc>
      </w:tr>
      <w:tr w:rsidR="0083430E" w14:paraId="649B35C0" w14:textId="77777777" w:rsidTr="005E6EAF">
        <w:tc>
          <w:tcPr>
            <w:tcW w:w="3226" w:type="dxa"/>
          </w:tcPr>
          <w:p w14:paraId="1352FB3D" w14:textId="77777777" w:rsidR="0083430E" w:rsidRPr="0065684E" w:rsidRDefault="00BF6FC8">
            <w:pPr>
              <w:spacing w:before="20" w:after="20" w:line="240" w:lineRule="auto"/>
              <w:rPr>
                <w:lang w:val="en-GB"/>
              </w:rPr>
            </w:pPr>
            <w:r w:rsidRPr="0065684E">
              <w:rPr>
                <w:color w:val="000000"/>
                <w:sz w:val="18"/>
                <w:szCs w:val="18"/>
                <w:lang w:val="en-GB"/>
              </w:rPr>
              <w:t>iMTA iPCQ / iMCQ (resource use, costs)</w:t>
            </w:r>
          </w:p>
        </w:tc>
        <w:tc>
          <w:tcPr>
            <w:tcW w:w="580" w:type="dxa"/>
          </w:tcPr>
          <w:p w14:paraId="717D079C" w14:textId="77777777" w:rsidR="0083430E" w:rsidRPr="0065684E" w:rsidRDefault="0083430E">
            <w:pPr>
              <w:spacing w:before="20" w:after="20" w:line="240" w:lineRule="auto"/>
              <w:jc w:val="center"/>
              <w:rPr>
                <w:lang w:val="en-GB"/>
              </w:rPr>
            </w:pPr>
          </w:p>
        </w:tc>
        <w:tc>
          <w:tcPr>
            <w:tcW w:w="580" w:type="dxa"/>
          </w:tcPr>
          <w:p w14:paraId="6499D6B4" w14:textId="77777777" w:rsidR="0083430E" w:rsidRPr="0065684E" w:rsidRDefault="0083430E">
            <w:pPr>
              <w:spacing w:before="20" w:after="20" w:line="240" w:lineRule="auto"/>
              <w:jc w:val="center"/>
              <w:rPr>
                <w:lang w:val="en-GB"/>
              </w:rPr>
            </w:pPr>
          </w:p>
        </w:tc>
        <w:tc>
          <w:tcPr>
            <w:tcW w:w="580" w:type="dxa"/>
          </w:tcPr>
          <w:p w14:paraId="7CCEB6B1" w14:textId="77777777" w:rsidR="0083430E" w:rsidRPr="0065684E" w:rsidRDefault="0083430E">
            <w:pPr>
              <w:spacing w:before="20" w:after="20" w:line="240" w:lineRule="auto"/>
              <w:jc w:val="center"/>
              <w:rPr>
                <w:lang w:val="en-GB"/>
              </w:rPr>
            </w:pPr>
          </w:p>
        </w:tc>
        <w:tc>
          <w:tcPr>
            <w:tcW w:w="580" w:type="dxa"/>
          </w:tcPr>
          <w:p w14:paraId="21439572" w14:textId="77777777" w:rsidR="0083430E" w:rsidRDefault="00BF6FC8">
            <w:pPr>
              <w:spacing w:before="20" w:after="20" w:line="240" w:lineRule="auto"/>
              <w:jc w:val="center"/>
            </w:pPr>
            <w:r>
              <w:rPr>
                <w:color w:val="000000"/>
                <w:sz w:val="18"/>
                <w:szCs w:val="18"/>
              </w:rPr>
              <w:t>X</w:t>
            </w:r>
          </w:p>
        </w:tc>
        <w:tc>
          <w:tcPr>
            <w:tcW w:w="580" w:type="dxa"/>
          </w:tcPr>
          <w:p w14:paraId="38C8F4AE" w14:textId="77777777" w:rsidR="0083430E" w:rsidRDefault="00BF6FC8">
            <w:pPr>
              <w:spacing w:before="20" w:after="20" w:line="240" w:lineRule="auto"/>
              <w:jc w:val="center"/>
            </w:pPr>
            <w:r>
              <w:rPr>
                <w:color w:val="000000"/>
                <w:sz w:val="18"/>
                <w:szCs w:val="18"/>
              </w:rPr>
              <w:t>X</w:t>
            </w:r>
          </w:p>
        </w:tc>
        <w:tc>
          <w:tcPr>
            <w:tcW w:w="580" w:type="dxa"/>
          </w:tcPr>
          <w:p w14:paraId="105F8EE1" w14:textId="77777777" w:rsidR="0083430E" w:rsidRDefault="00BF6FC8">
            <w:pPr>
              <w:spacing w:before="20" w:after="20" w:line="240" w:lineRule="auto"/>
              <w:jc w:val="center"/>
            </w:pPr>
            <w:r>
              <w:rPr>
                <w:color w:val="000000"/>
                <w:sz w:val="18"/>
                <w:szCs w:val="18"/>
              </w:rPr>
              <w:t>X</w:t>
            </w:r>
          </w:p>
        </w:tc>
        <w:tc>
          <w:tcPr>
            <w:tcW w:w="580" w:type="dxa"/>
          </w:tcPr>
          <w:p w14:paraId="3CF91525" w14:textId="77777777" w:rsidR="0083430E" w:rsidRDefault="00BF6FC8">
            <w:pPr>
              <w:spacing w:before="20" w:after="20" w:line="240" w:lineRule="auto"/>
              <w:jc w:val="center"/>
            </w:pPr>
            <w:r>
              <w:rPr>
                <w:color w:val="000000"/>
                <w:sz w:val="18"/>
                <w:szCs w:val="18"/>
              </w:rPr>
              <w:t>X</w:t>
            </w:r>
          </w:p>
        </w:tc>
        <w:tc>
          <w:tcPr>
            <w:tcW w:w="580" w:type="dxa"/>
          </w:tcPr>
          <w:p w14:paraId="3AAD0A41" w14:textId="77777777" w:rsidR="0083430E" w:rsidRDefault="00BF6FC8">
            <w:pPr>
              <w:spacing w:before="20" w:after="20" w:line="240" w:lineRule="auto"/>
              <w:jc w:val="center"/>
            </w:pPr>
            <w:r>
              <w:rPr>
                <w:color w:val="000000"/>
                <w:sz w:val="18"/>
                <w:szCs w:val="18"/>
              </w:rPr>
              <w:t>X</w:t>
            </w:r>
          </w:p>
        </w:tc>
        <w:tc>
          <w:tcPr>
            <w:tcW w:w="580" w:type="dxa"/>
          </w:tcPr>
          <w:p w14:paraId="1B6F22FA" w14:textId="77777777" w:rsidR="0083430E" w:rsidRDefault="00BF6FC8">
            <w:pPr>
              <w:spacing w:before="20" w:after="20" w:line="240" w:lineRule="auto"/>
              <w:jc w:val="center"/>
            </w:pPr>
            <w:r>
              <w:rPr>
                <w:color w:val="000000"/>
                <w:sz w:val="18"/>
                <w:szCs w:val="18"/>
              </w:rPr>
              <w:t>X</w:t>
            </w:r>
          </w:p>
        </w:tc>
        <w:tc>
          <w:tcPr>
            <w:tcW w:w="580" w:type="dxa"/>
          </w:tcPr>
          <w:p w14:paraId="119D8F9D" w14:textId="77777777" w:rsidR="0083430E" w:rsidRDefault="0083430E">
            <w:pPr>
              <w:spacing w:before="20" w:after="20" w:line="240" w:lineRule="auto"/>
              <w:jc w:val="center"/>
            </w:pPr>
          </w:p>
        </w:tc>
      </w:tr>
      <w:tr w:rsidR="0083430E" w14:paraId="551A22CD" w14:textId="77777777" w:rsidTr="005E6EAF">
        <w:tc>
          <w:tcPr>
            <w:tcW w:w="3226" w:type="dxa"/>
          </w:tcPr>
          <w:p w14:paraId="3169FE09" w14:textId="77777777" w:rsidR="0083430E" w:rsidRDefault="00BF6FC8">
            <w:pPr>
              <w:spacing w:before="20" w:after="20" w:line="240" w:lineRule="auto"/>
            </w:pPr>
            <w:r>
              <w:rPr>
                <w:color w:val="000000"/>
                <w:sz w:val="18"/>
                <w:szCs w:val="18"/>
              </w:rPr>
              <w:t>Self-reported adherence (VAS)</w:t>
            </w:r>
          </w:p>
        </w:tc>
        <w:tc>
          <w:tcPr>
            <w:tcW w:w="580" w:type="dxa"/>
          </w:tcPr>
          <w:p w14:paraId="4A437FB4" w14:textId="77777777" w:rsidR="0083430E" w:rsidRDefault="0083430E">
            <w:pPr>
              <w:spacing w:before="20" w:after="20" w:line="240" w:lineRule="auto"/>
              <w:jc w:val="center"/>
            </w:pPr>
          </w:p>
        </w:tc>
        <w:tc>
          <w:tcPr>
            <w:tcW w:w="580" w:type="dxa"/>
          </w:tcPr>
          <w:p w14:paraId="1A86ED77" w14:textId="77777777" w:rsidR="0083430E" w:rsidRDefault="0083430E">
            <w:pPr>
              <w:spacing w:before="20" w:after="20" w:line="240" w:lineRule="auto"/>
              <w:jc w:val="center"/>
            </w:pPr>
          </w:p>
        </w:tc>
        <w:tc>
          <w:tcPr>
            <w:tcW w:w="580" w:type="dxa"/>
          </w:tcPr>
          <w:p w14:paraId="4550B63D" w14:textId="77777777" w:rsidR="0083430E" w:rsidRDefault="0083430E">
            <w:pPr>
              <w:spacing w:before="20" w:after="20" w:line="240" w:lineRule="auto"/>
              <w:jc w:val="center"/>
            </w:pPr>
          </w:p>
        </w:tc>
        <w:tc>
          <w:tcPr>
            <w:tcW w:w="580" w:type="dxa"/>
          </w:tcPr>
          <w:p w14:paraId="446C0AFE" w14:textId="77777777" w:rsidR="0083430E" w:rsidRDefault="00BF6FC8">
            <w:pPr>
              <w:spacing w:before="20" w:after="20" w:line="240" w:lineRule="auto"/>
              <w:jc w:val="center"/>
            </w:pPr>
            <w:r>
              <w:rPr>
                <w:color w:val="000000"/>
                <w:sz w:val="18"/>
                <w:szCs w:val="18"/>
              </w:rPr>
              <w:t>X</w:t>
            </w:r>
          </w:p>
        </w:tc>
        <w:tc>
          <w:tcPr>
            <w:tcW w:w="580" w:type="dxa"/>
          </w:tcPr>
          <w:p w14:paraId="7FEE7B06" w14:textId="77777777" w:rsidR="0083430E" w:rsidRDefault="00BF6FC8">
            <w:pPr>
              <w:spacing w:before="20" w:after="20" w:line="240" w:lineRule="auto"/>
              <w:jc w:val="center"/>
            </w:pPr>
            <w:r>
              <w:rPr>
                <w:color w:val="000000"/>
                <w:sz w:val="18"/>
                <w:szCs w:val="18"/>
              </w:rPr>
              <w:t>X</w:t>
            </w:r>
          </w:p>
        </w:tc>
        <w:tc>
          <w:tcPr>
            <w:tcW w:w="580" w:type="dxa"/>
          </w:tcPr>
          <w:p w14:paraId="7AF2A3B1" w14:textId="77777777" w:rsidR="0083430E" w:rsidRDefault="00BF6FC8">
            <w:pPr>
              <w:spacing w:before="20" w:after="20" w:line="240" w:lineRule="auto"/>
              <w:jc w:val="center"/>
            </w:pPr>
            <w:r>
              <w:rPr>
                <w:color w:val="000000"/>
                <w:sz w:val="18"/>
                <w:szCs w:val="18"/>
              </w:rPr>
              <w:t>X</w:t>
            </w:r>
          </w:p>
        </w:tc>
        <w:tc>
          <w:tcPr>
            <w:tcW w:w="580" w:type="dxa"/>
          </w:tcPr>
          <w:p w14:paraId="497EA9B9" w14:textId="77777777" w:rsidR="0083430E" w:rsidRDefault="00BF6FC8">
            <w:pPr>
              <w:spacing w:before="20" w:after="20" w:line="240" w:lineRule="auto"/>
              <w:jc w:val="center"/>
            </w:pPr>
            <w:r>
              <w:rPr>
                <w:color w:val="000000"/>
                <w:sz w:val="18"/>
                <w:szCs w:val="18"/>
              </w:rPr>
              <w:t>X</w:t>
            </w:r>
          </w:p>
        </w:tc>
        <w:tc>
          <w:tcPr>
            <w:tcW w:w="580" w:type="dxa"/>
          </w:tcPr>
          <w:p w14:paraId="1B41F1C1" w14:textId="77777777" w:rsidR="0083430E" w:rsidRDefault="00BF6FC8">
            <w:pPr>
              <w:spacing w:before="20" w:after="20" w:line="240" w:lineRule="auto"/>
              <w:jc w:val="center"/>
            </w:pPr>
            <w:r>
              <w:rPr>
                <w:color w:val="000000"/>
                <w:sz w:val="18"/>
                <w:szCs w:val="18"/>
              </w:rPr>
              <w:t>X</w:t>
            </w:r>
          </w:p>
        </w:tc>
        <w:tc>
          <w:tcPr>
            <w:tcW w:w="580" w:type="dxa"/>
          </w:tcPr>
          <w:p w14:paraId="4BE440E5" w14:textId="77777777" w:rsidR="0083430E" w:rsidRDefault="00BF6FC8">
            <w:pPr>
              <w:spacing w:before="20" w:after="20" w:line="240" w:lineRule="auto"/>
              <w:jc w:val="center"/>
            </w:pPr>
            <w:r>
              <w:rPr>
                <w:color w:val="000000"/>
                <w:sz w:val="18"/>
                <w:szCs w:val="18"/>
              </w:rPr>
              <w:t>X</w:t>
            </w:r>
          </w:p>
        </w:tc>
        <w:tc>
          <w:tcPr>
            <w:tcW w:w="580" w:type="dxa"/>
          </w:tcPr>
          <w:p w14:paraId="0E9A6B7C" w14:textId="77777777" w:rsidR="0083430E" w:rsidRDefault="0083430E">
            <w:pPr>
              <w:spacing w:before="20" w:after="20" w:line="240" w:lineRule="auto"/>
              <w:jc w:val="center"/>
            </w:pPr>
          </w:p>
        </w:tc>
      </w:tr>
      <w:tr w:rsidR="0083430E" w14:paraId="64EB658C" w14:textId="77777777" w:rsidTr="005E6EAF">
        <w:tc>
          <w:tcPr>
            <w:tcW w:w="3226" w:type="dxa"/>
          </w:tcPr>
          <w:p w14:paraId="66B5F97F" w14:textId="77777777" w:rsidR="0083430E" w:rsidRDefault="00BF6FC8">
            <w:pPr>
              <w:spacing w:before="20" w:after="20" w:line="240" w:lineRule="auto"/>
            </w:pPr>
            <w:r>
              <w:rPr>
                <w:color w:val="000000"/>
                <w:sz w:val="18"/>
                <w:szCs w:val="18"/>
              </w:rPr>
              <w:t>MoveMonitor 7-day activity recording</w:t>
            </w:r>
          </w:p>
        </w:tc>
        <w:tc>
          <w:tcPr>
            <w:tcW w:w="580" w:type="dxa"/>
          </w:tcPr>
          <w:p w14:paraId="6E3173F8" w14:textId="77777777" w:rsidR="0083430E" w:rsidRDefault="0083430E">
            <w:pPr>
              <w:spacing w:before="20" w:after="20" w:line="240" w:lineRule="auto"/>
              <w:jc w:val="center"/>
            </w:pPr>
          </w:p>
        </w:tc>
        <w:tc>
          <w:tcPr>
            <w:tcW w:w="580" w:type="dxa"/>
          </w:tcPr>
          <w:p w14:paraId="7A3AF471" w14:textId="77777777" w:rsidR="0083430E" w:rsidRDefault="00BF6FC8">
            <w:pPr>
              <w:spacing w:before="20" w:after="20" w:line="240" w:lineRule="auto"/>
              <w:jc w:val="center"/>
            </w:pPr>
          </w:p>
        </w:tc>
        <w:tc>
          <w:tcPr>
            <w:tcW w:w="580" w:type="dxa"/>
          </w:tcPr>
          <w:p w14:paraId="42C07CED" w14:textId="77777777" w:rsidR="0083430E" w:rsidRDefault="0083430E">
            <w:pPr>
              <w:spacing w:before="20" w:after="20" w:line="240" w:lineRule="auto"/>
              <w:jc w:val="center"/>
            </w:pPr>
            <w:r>
              <w:rPr>
                <w:color w:val="000000"/>
                <w:sz w:val="18"/>
                <w:szCs w:val="18"/>
              </w:rPr>
              <w:t>X</w:t>
            </w:r>
          </w:p>
        </w:tc>
        <w:tc>
          <w:tcPr>
            <w:tcW w:w="580" w:type="dxa"/>
          </w:tcPr>
          <w:p w14:paraId="6D855CE6" w14:textId="77777777" w:rsidR="0083430E" w:rsidRDefault="0083430E">
            <w:pPr>
              <w:spacing w:before="20" w:after="20" w:line="240" w:lineRule="auto"/>
              <w:jc w:val="center"/>
            </w:pPr>
          </w:p>
        </w:tc>
        <w:tc>
          <w:tcPr>
            <w:tcW w:w="580" w:type="dxa"/>
          </w:tcPr>
          <w:p w14:paraId="3049C45D" w14:textId="7EE401A9" w:rsidR="0083430E" w:rsidRDefault="0083430E">
            <w:pPr>
              <w:spacing w:before="20" w:after="20" w:line="240" w:lineRule="auto"/>
              <w:jc w:val="center"/>
            </w:pPr>
          </w:p>
        </w:tc>
        <w:tc>
          <w:tcPr>
            <w:tcW w:w="580" w:type="dxa"/>
          </w:tcPr>
          <w:p w14:paraId="18FEF157" w14:textId="77777777" w:rsidR="0083430E" w:rsidRDefault="0083430E">
            <w:pPr>
              <w:spacing w:before="20" w:after="20" w:line="240" w:lineRule="auto"/>
              <w:jc w:val="center"/>
            </w:pPr>
          </w:p>
        </w:tc>
        <w:tc>
          <w:tcPr>
            <w:tcW w:w="580" w:type="dxa"/>
          </w:tcPr>
          <w:p w14:paraId="077D4A03" w14:textId="77777777" w:rsidR="0083430E" w:rsidRDefault="0083430E">
            <w:pPr>
              <w:spacing w:before="20" w:after="20" w:line="240" w:lineRule="auto"/>
              <w:jc w:val="center"/>
            </w:pPr>
          </w:p>
        </w:tc>
        <w:tc>
          <w:tcPr>
            <w:tcW w:w="580" w:type="dxa"/>
          </w:tcPr>
          <w:p w14:paraId="6C8CF96D" w14:textId="77777777" w:rsidR="0083430E" w:rsidRDefault="0083430E">
            <w:pPr>
              <w:spacing w:before="20" w:after="20" w:line="240" w:lineRule="auto"/>
              <w:jc w:val="center"/>
            </w:pPr>
          </w:p>
        </w:tc>
        <w:tc>
          <w:tcPr>
            <w:tcW w:w="580" w:type="dxa"/>
          </w:tcPr>
          <w:p w14:paraId="7749CE78" w14:textId="77777777" w:rsidR="0083430E" w:rsidRDefault="0083430E">
            <w:pPr>
              <w:spacing w:before="20" w:after="20" w:line="240" w:lineRule="auto"/>
              <w:jc w:val="center"/>
            </w:pPr>
          </w:p>
        </w:tc>
        <w:tc>
          <w:tcPr>
            <w:tcW w:w="580" w:type="dxa"/>
          </w:tcPr>
          <w:p w14:paraId="6582C5CE" w14:textId="77777777" w:rsidR="0083430E" w:rsidRDefault="0083430E">
            <w:pPr>
              <w:spacing w:before="20" w:after="20" w:line="240" w:lineRule="auto"/>
              <w:jc w:val="center"/>
            </w:pPr>
          </w:p>
        </w:tc>
      </w:tr>
      <w:tr w:rsidR="0083430E" w14:paraId="55872048" w14:textId="77777777" w:rsidTr="005E6EAF">
        <w:tc>
          <w:tcPr>
            <w:tcW w:w="3226" w:type="dxa"/>
          </w:tcPr>
          <w:p w14:paraId="35A39369" w14:textId="0C209ACC" w:rsidR="0083430E" w:rsidRPr="0065684E" w:rsidRDefault="00BF6FC8">
            <w:pPr>
              <w:spacing w:before="20" w:after="20" w:line="240" w:lineRule="auto"/>
              <w:rPr>
                <w:lang w:val="en-GB"/>
              </w:rPr>
            </w:pPr>
            <w:r w:rsidRPr="0065684E">
              <w:rPr>
                <w:color w:val="000000"/>
                <w:sz w:val="18"/>
                <w:szCs w:val="18"/>
                <w:lang w:val="en-GB"/>
              </w:rPr>
              <w:t>Orthotimer readout</w:t>
            </w:r>
          </w:p>
        </w:tc>
        <w:tc>
          <w:tcPr>
            <w:tcW w:w="580" w:type="dxa"/>
          </w:tcPr>
          <w:p w14:paraId="5F5AFE08" w14:textId="77777777" w:rsidR="0083430E" w:rsidRPr="0065684E" w:rsidRDefault="0083430E">
            <w:pPr>
              <w:spacing w:before="20" w:after="20" w:line="240" w:lineRule="auto"/>
              <w:jc w:val="center"/>
              <w:rPr>
                <w:lang w:val="en-GB"/>
              </w:rPr>
            </w:pPr>
          </w:p>
        </w:tc>
        <w:tc>
          <w:tcPr>
            <w:tcW w:w="580" w:type="dxa"/>
          </w:tcPr>
          <w:p w14:paraId="40D05F69" w14:textId="77777777" w:rsidR="0083430E" w:rsidRPr="0065684E" w:rsidRDefault="0083430E">
            <w:pPr>
              <w:spacing w:before="20" w:after="20" w:line="240" w:lineRule="auto"/>
              <w:jc w:val="center"/>
              <w:rPr>
                <w:lang w:val="en-GB"/>
              </w:rPr>
            </w:pPr>
          </w:p>
        </w:tc>
        <w:tc>
          <w:tcPr>
            <w:tcW w:w="580" w:type="dxa"/>
          </w:tcPr>
          <w:p w14:paraId="14E90535" w14:textId="77777777" w:rsidR="0083430E" w:rsidRPr="0065684E" w:rsidRDefault="0083430E">
            <w:pPr>
              <w:spacing w:before="20" w:after="20" w:line="240" w:lineRule="auto"/>
              <w:jc w:val="center"/>
              <w:rPr>
                <w:lang w:val="en-GB"/>
              </w:rPr>
            </w:pPr>
          </w:p>
        </w:tc>
        <w:tc>
          <w:tcPr>
            <w:tcW w:w="580" w:type="dxa"/>
          </w:tcPr>
          <w:p w14:paraId="4A796F5C" w14:textId="77777777" w:rsidR="0083430E" w:rsidRDefault="00BF6FC8">
            <w:pPr>
              <w:spacing w:before="20" w:after="20" w:line="240" w:lineRule="auto"/>
              <w:jc w:val="center"/>
            </w:pPr>
            <w:r>
              <w:rPr>
                <w:color w:val="000000"/>
                <w:sz w:val="18"/>
                <w:szCs w:val="18"/>
              </w:rPr>
              <w:t>X</w:t>
            </w:r>
          </w:p>
        </w:tc>
        <w:tc>
          <w:tcPr>
            <w:tcW w:w="580" w:type="dxa"/>
          </w:tcPr>
          <w:p w14:paraId="2FB20399" w14:textId="77777777" w:rsidR="0083430E" w:rsidRDefault="00BF6FC8">
            <w:pPr>
              <w:spacing w:before="20" w:after="20" w:line="240" w:lineRule="auto"/>
              <w:jc w:val="center"/>
            </w:pPr>
            <w:r>
              <w:rPr>
                <w:color w:val="000000"/>
                <w:sz w:val="18"/>
                <w:szCs w:val="18"/>
              </w:rPr>
              <w:t>X</w:t>
            </w:r>
          </w:p>
        </w:tc>
        <w:tc>
          <w:tcPr>
            <w:tcW w:w="580" w:type="dxa"/>
          </w:tcPr>
          <w:p w14:paraId="5B40E2FE" w14:textId="77777777" w:rsidR="0083430E" w:rsidRDefault="00BF6FC8">
            <w:pPr>
              <w:spacing w:before="20" w:after="20" w:line="240" w:lineRule="auto"/>
              <w:jc w:val="center"/>
            </w:pPr>
            <w:r>
              <w:rPr>
                <w:color w:val="000000"/>
                <w:sz w:val="18"/>
                <w:szCs w:val="18"/>
              </w:rPr>
              <w:t>X</w:t>
            </w:r>
          </w:p>
        </w:tc>
        <w:tc>
          <w:tcPr>
            <w:tcW w:w="580" w:type="dxa"/>
          </w:tcPr>
          <w:p w14:paraId="6350FF04" w14:textId="77777777" w:rsidR="0083430E" w:rsidRDefault="00BF6FC8">
            <w:pPr>
              <w:spacing w:before="20" w:after="20" w:line="240" w:lineRule="auto"/>
              <w:jc w:val="center"/>
            </w:pPr>
            <w:r>
              <w:rPr>
                <w:color w:val="000000"/>
                <w:sz w:val="18"/>
                <w:szCs w:val="18"/>
              </w:rPr>
              <w:t>X</w:t>
            </w:r>
          </w:p>
        </w:tc>
        <w:tc>
          <w:tcPr>
            <w:tcW w:w="580" w:type="dxa"/>
          </w:tcPr>
          <w:p w14:paraId="35542701" w14:textId="77777777" w:rsidR="0083430E" w:rsidRDefault="00BF6FC8">
            <w:pPr>
              <w:spacing w:before="20" w:after="20" w:line="240" w:lineRule="auto"/>
              <w:jc w:val="center"/>
            </w:pPr>
            <w:r>
              <w:rPr>
                <w:color w:val="000000"/>
                <w:sz w:val="18"/>
                <w:szCs w:val="18"/>
              </w:rPr>
              <w:t>X</w:t>
            </w:r>
          </w:p>
        </w:tc>
        <w:tc>
          <w:tcPr>
            <w:tcW w:w="580" w:type="dxa"/>
          </w:tcPr>
          <w:p w14:paraId="78691013" w14:textId="77777777" w:rsidR="0083430E" w:rsidRDefault="00BF6FC8">
            <w:pPr>
              <w:spacing w:before="20" w:after="20" w:line="240" w:lineRule="auto"/>
              <w:jc w:val="center"/>
            </w:pPr>
            <w:r>
              <w:rPr>
                <w:color w:val="000000"/>
                <w:sz w:val="18"/>
                <w:szCs w:val="18"/>
              </w:rPr>
              <w:t>X</w:t>
            </w:r>
          </w:p>
        </w:tc>
        <w:tc>
          <w:tcPr>
            <w:tcW w:w="580" w:type="dxa"/>
          </w:tcPr>
          <w:p w14:paraId="719AAA60" w14:textId="77777777" w:rsidR="0083430E" w:rsidRDefault="0083430E">
            <w:pPr>
              <w:spacing w:before="20" w:after="20" w:line="240" w:lineRule="auto"/>
              <w:jc w:val="center"/>
            </w:pPr>
          </w:p>
        </w:tc>
      </w:tr>
      <w:tr w:rsidR="0083430E" w14:paraId="5E84D8AB" w14:textId="77777777" w:rsidTr="005E6EAF">
        <w:tc>
          <w:tcPr>
            <w:tcW w:w="3226" w:type="dxa"/>
          </w:tcPr>
          <w:p w14:paraId="3BEE4A4A" w14:textId="77777777" w:rsidR="0083430E" w:rsidRPr="0065684E" w:rsidRDefault="00BF6FC8">
            <w:pPr>
              <w:spacing w:before="20" w:after="20" w:line="240" w:lineRule="auto"/>
              <w:rPr>
                <w:lang w:val="en-GB"/>
              </w:rPr>
            </w:pPr>
            <w:r w:rsidRPr="0065684E">
              <w:rPr>
                <w:color w:val="000000"/>
                <w:sz w:val="18"/>
                <w:szCs w:val="18"/>
                <w:lang w:val="en-GB"/>
              </w:rPr>
              <w:t>Process evaluation (diaries, interviews, observation)</w:t>
            </w:r>
          </w:p>
        </w:tc>
        <w:tc>
          <w:tcPr>
            <w:tcW w:w="580" w:type="dxa"/>
          </w:tcPr>
          <w:p w14:paraId="3FA4D472" w14:textId="77777777" w:rsidR="0083430E" w:rsidRPr="0065684E" w:rsidRDefault="0083430E">
            <w:pPr>
              <w:spacing w:before="20" w:after="20" w:line="240" w:lineRule="auto"/>
              <w:jc w:val="center"/>
              <w:rPr>
                <w:lang w:val="en-GB"/>
              </w:rPr>
            </w:pPr>
          </w:p>
        </w:tc>
        <w:tc>
          <w:tcPr>
            <w:tcW w:w="580" w:type="dxa"/>
          </w:tcPr>
          <w:p w14:paraId="3176F1E8" w14:textId="77777777" w:rsidR="0083430E" w:rsidRPr="0065684E" w:rsidRDefault="0083430E">
            <w:pPr>
              <w:spacing w:before="20" w:after="20" w:line="240" w:lineRule="auto"/>
              <w:jc w:val="center"/>
              <w:rPr>
                <w:lang w:val="en-GB"/>
              </w:rPr>
            </w:pPr>
          </w:p>
        </w:tc>
        <w:tc>
          <w:tcPr>
            <w:tcW w:w="580" w:type="dxa"/>
          </w:tcPr>
          <w:p w14:paraId="3B2B189D" w14:textId="77777777" w:rsidR="0083430E" w:rsidRDefault="00BF6FC8">
            <w:pPr>
              <w:spacing w:before="20" w:after="20" w:line="240" w:lineRule="auto"/>
              <w:jc w:val="center"/>
            </w:pPr>
            <w:r>
              <w:rPr>
                <w:color w:val="000000"/>
                <w:sz w:val="18"/>
                <w:szCs w:val="18"/>
              </w:rPr>
              <w:t>X</w:t>
            </w:r>
          </w:p>
        </w:tc>
        <w:tc>
          <w:tcPr>
            <w:tcW w:w="580" w:type="dxa"/>
          </w:tcPr>
          <w:p w14:paraId="7F5C15E0" w14:textId="77777777" w:rsidR="0083430E" w:rsidRDefault="00BF6FC8">
            <w:pPr>
              <w:spacing w:before="20" w:after="20" w:line="240" w:lineRule="auto"/>
              <w:jc w:val="center"/>
            </w:pPr>
            <w:r>
              <w:rPr>
                <w:color w:val="000000"/>
                <w:sz w:val="18"/>
                <w:szCs w:val="18"/>
              </w:rPr>
              <w:t>X</w:t>
            </w:r>
          </w:p>
        </w:tc>
        <w:tc>
          <w:tcPr>
            <w:tcW w:w="580" w:type="dxa"/>
          </w:tcPr>
          <w:p w14:paraId="0AC02039" w14:textId="77777777" w:rsidR="0083430E" w:rsidRDefault="00BF6FC8">
            <w:pPr>
              <w:spacing w:before="20" w:after="20" w:line="240" w:lineRule="auto"/>
              <w:jc w:val="center"/>
            </w:pPr>
            <w:r>
              <w:rPr>
                <w:color w:val="000000"/>
                <w:sz w:val="18"/>
                <w:szCs w:val="18"/>
              </w:rPr>
              <w:t>X</w:t>
            </w:r>
          </w:p>
        </w:tc>
        <w:tc>
          <w:tcPr>
            <w:tcW w:w="580" w:type="dxa"/>
          </w:tcPr>
          <w:p w14:paraId="07A0E947" w14:textId="77777777" w:rsidR="0083430E" w:rsidRDefault="00BF6FC8">
            <w:pPr>
              <w:spacing w:before="20" w:after="20" w:line="240" w:lineRule="auto"/>
              <w:jc w:val="center"/>
            </w:pPr>
            <w:r>
              <w:rPr>
                <w:color w:val="000000"/>
                <w:sz w:val="18"/>
                <w:szCs w:val="18"/>
              </w:rPr>
              <w:t>X</w:t>
            </w:r>
          </w:p>
        </w:tc>
        <w:tc>
          <w:tcPr>
            <w:tcW w:w="580" w:type="dxa"/>
          </w:tcPr>
          <w:p w14:paraId="4321EF9B" w14:textId="77777777" w:rsidR="0083430E" w:rsidRDefault="00BF6FC8">
            <w:pPr>
              <w:spacing w:before="20" w:after="20" w:line="240" w:lineRule="auto"/>
              <w:jc w:val="center"/>
            </w:pPr>
            <w:r>
              <w:rPr>
                <w:color w:val="000000"/>
                <w:sz w:val="18"/>
                <w:szCs w:val="18"/>
              </w:rPr>
              <w:t>X</w:t>
            </w:r>
          </w:p>
        </w:tc>
        <w:tc>
          <w:tcPr>
            <w:tcW w:w="580" w:type="dxa"/>
          </w:tcPr>
          <w:p w14:paraId="07F1EA99" w14:textId="77777777" w:rsidR="0083430E" w:rsidRDefault="00BF6FC8">
            <w:pPr>
              <w:spacing w:before="20" w:after="20" w:line="240" w:lineRule="auto"/>
              <w:jc w:val="center"/>
            </w:pPr>
            <w:r>
              <w:rPr>
                <w:color w:val="000000"/>
                <w:sz w:val="18"/>
                <w:szCs w:val="18"/>
              </w:rPr>
              <w:t>X</w:t>
            </w:r>
          </w:p>
        </w:tc>
        <w:tc>
          <w:tcPr>
            <w:tcW w:w="580" w:type="dxa"/>
          </w:tcPr>
          <w:p w14:paraId="66C1A887" w14:textId="77777777" w:rsidR="0083430E" w:rsidRDefault="00BF6FC8">
            <w:pPr>
              <w:spacing w:before="20" w:after="20" w:line="240" w:lineRule="auto"/>
              <w:jc w:val="center"/>
            </w:pPr>
            <w:r>
              <w:rPr>
                <w:color w:val="000000"/>
                <w:sz w:val="18"/>
                <w:szCs w:val="18"/>
              </w:rPr>
              <w:t>X</w:t>
            </w:r>
          </w:p>
        </w:tc>
        <w:tc>
          <w:tcPr>
            <w:tcW w:w="580" w:type="dxa"/>
          </w:tcPr>
          <w:p w14:paraId="2E6B1EAF" w14:textId="77777777" w:rsidR="0083430E" w:rsidRDefault="00BF6FC8">
            <w:pPr>
              <w:spacing w:before="20" w:after="20" w:line="240" w:lineRule="auto"/>
              <w:jc w:val="center"/>
            </w:pPr>
            <w:r>
              <w:rPr>
                <w:color w:val="000000"/>
                <w:sz w:val="18"/>
                <w:szCs w:val="18"/>
              </w:rPr>
              <w:t>X</w:t>
            </w:r>
          </w:p>
        </w:tc>
      </w:tr>
      <w:tr w:rsidR="0083430E" w14:paraId="6DB847D7" w14:textId="77777777" w:rsidTr="005E6EAF">
        <w:tc>
          <w:tcPr>
            <w:tcW w:w="3226" w:type="dxa"/>
          </w:tcPr>
          <w:p w14:paraId="297901B2" w14:textId="77777777" w:rsidR="0083430E" w:rsidRDefault="00BF6FC8">
            <w:pPr>
              <w:spacing w:before="20" w:after="20" w:line="240" w:lineRule="auto"/>
            </w:pPr>
            <w:r>
              <w:rPr>
                <w:color w:val="000000"/>
                <w:sz w:val="18"/>
                <w:szCs w:val="18"/>
              </w:rPr>
              <w:t>Adverse event / concomitant medication assessment</w:t>
            </w:r>
          </w:p>
        </w:tc>
        <w:tc>
          <w:tcPr>
            <w:tcW w:w="580" w:type="dxa"/>
          </w:tcPr>
          <w:p w14:paraId="2242E0E2" w14:textId="77777777" w:rsidR="0083430E" w:rsidRDefault="00BF6FC8">
            <w:pPr>
              <w:spacing w:before="20" w:after="20" w:line="240" w:lineRule="auto"/>
              <w:jc w:val="center"/>
            </w:pPr>
            <w:r>
              <w:rPr>
                <w:color w:val="000000"/>
                <w:sz w:val="18"/>
                <w:szCs w:val="18"/>
              </w:rPr>
              <w:t>X</w:t>
            </w:r>
          </w:p>
        </w:tc>
        <w:tc>
          <w:tcPr>
            <w:tcW w:w="580" w:type="dxa"/>
          </w:tcPr>
          <w:p w14:paraId="7ABA020F" w14:textId="77777777" w:rsidR="0083430E" w:rsidRDefault="00BF6FC8">
            <w:pPr>
              <w:spacing w:before="20" w:after="20" w:line="240" w:lineRule="auto"/>
              <w:jc w:val="center"/>
            </w:pPr>
            <w:r>
              <w:rPr>
                <w:color w:val="000000"/>
                <w:sz w:val="18"/>
                <w:szCs w:val="18"/>
              </w:rPr>
              <w:t>X</w:t>
            </w:r>
          </w:p>
        </w:tc>
        <w:tc>
          <w:tcPr>
            <w:tcW w:w="580" w:type="dxa"/>
          </w:tcPr>
          <w:p w14:paraId="4CEDEFFC" w14:textId="77777777" w:rsidR="0083430E" w:rsidRDefault="00BF6FC8">
            <w:pPr>
              <w:spacing w:before="20" w:after="20" w:line="240" w:lineRule="auto"/>
              <w:jc w:val="center"/>
            </w:pPr>
            <w:r>
              <w:rPr>
                <w:color w:val="000000"/>
                <w:sz w:val="18"/>
                <w:szCs w:val="18"/>
              </w:rPr>
              <w:t>X</w:t>
            </w:r>
          </w:p>
        </w:tc>
        <w:tc>
          <w:tcPr>
            <w:tcW w:w="580" w:type="dxa"/>
          </w:tcPr>
          <w:p w14:paraId="5F1C7E2C" w14:textId="77777777" w:rsidR="0083430E" w:rsidRDefault="00BF6FC8">
            <w:pPr>
              <w:spacing w:before="20" w:after="20" w:line="240" w:lineRule="auto"/>
              <w:jc w:val="center"/>
            </w:pPr>
            <w:r>
              <w:rPr>
                <w:color w:val="000000"/>
                <w:sz w:val="18"/>
                <w:szCs w:val="18"/>
              </w:rPr>
              <w:t>X</w:t>
            </w:r>
          </w:p>
        </w:tc>
        <w:tc>
          <w:tcPr>
            <w:tcW w:w="580" w:type="dxa"/>
          </w:tcPr>
          <w:p w14:paraId="63213FD7" w14:textId="77777777" w:rsidR="0083430E" w:rsidRDefault="00BF6FC8">
            <w:pPr>
              <w:spacing w:before="20" w:after="20" w:line="240" w:lineRule="auto"/>
              <w:jc w:val="center"/>
            </w:pPr>
            <w:r>
              <w:rPr>
                <w:color w:val="000000"/>
                <w:sz w:val="18"/>
                <w:szCs w:val="18"/>
              </w:rPr>
              <w:t>X</w:t>
            </w:r>
          </w:p>
        </w:tc>
        <w:tc>
          <w:tcPr>
            <w:tcW w:w="580" w:type="dxa"/>
          </w:tcPr>
          <w:p w14:paraId="0D9AFD7D" w14:textId="77777777" w:rsidR="0083430E" w:rsidRDefault="00BF6FC8">
            <w:pPr>
              <w:spacing w:before="20" w:after="20" w:line="240" w:lineRule="auto"/>
              <w:jc w:val="center"/>
            </w:pPr>
            <w:r>
              <w:rPr>
                <w:color w:val="000000"/>
                <w:sz w:val="18"/>
                <w:szCs w:val="18"/>
              </w:rPr>
              <w:t>X</w:t>
            </w:r>
          </w:p>
        </w:tc>
        <w:tc>
          <w:tcPr>
            <w:tcW w:w="580" w:type="dxa"/>
          </w:tcPr>
          <w:p w14:paraId="0DFB6AD9" w14:textId="77777777" w:rsidR="0083430E" w:rsidRDefault="00BF6FC8">
            <w:pPr>
              <w:spacing w:before="20" w:after="20" w:line="240" w:lineRule="auto"/>
              <w:jc w:val="center"/>
            </w:pPr>
            <w:r>
              <w:rPr>
                <w:color w:val="000000"/>
                <w:sz w:val="18"/>
                <w:szCs w:val="18"/>
              </w:rPr>
              <w:t>X</w:t>
            </w:r>
          </w:p>
        </w:tc>
        <w:tc>
          <w:tcPr>
            <w:tcW w:w="580" w:type="dxa"/>
          </w:tcPr>
          <w:p w14:paraId="013EB06C" w14:textId="77777777" w:rsidR="0083430E" w:rsidRDefault="00BF6FC8">
            <w:pPr>
              <w:spacing w:before="20" w:after="20" w:line="240" w:lineRule="auto"/>
              <w:jc w:val="center"/>
            </w:pPr>
            <w:r>
              <w:rPr>
                <w:color w:val="000000"/>
                <w:sz w:val="18"/>
                <w:szCs w:val="18"/>
              </w:rPr>
              <w:t>X</w:t>
            </w:r>
          </w:p>
        </w:tc>
        <w:tc>
          <w:tcPr>
            <w:tcW w:w="580" w:type="dxa"/>
          </w:tcPr>
          <w:p w14:paraId="5D02CB71" w14:textId="77777777" w:rsidR="0083430E" w:rsidRDefault="00BF6FC8">
            <w:pPr>
              <w:spacing w:before="20" w:after="20" w:line="240" w:lineRule="auto"/>
              <w:jc w:val="center"/>
            </w:pPr>
            <w:r>
              <w:rPr>
                <w:color w:val="000000"/>
                <w:sz w:val="18"/>
                <w:szCs w:val="18"/>
              </w:rPr>
              <w:t>X</w:t>
            </w:r>
          </w:p>
        </w:tc>
        <w:tc>
          <w:tcPr>
            <w:tcW w:w="580" w:type="dxa"/>
          </w:tcPr>
          <w:p w14:paraId="4F438E56" w14:textId="77777777" w:rsidR="0083430E" w:rsidRDefault="00BF6FC8">
            <w:pPr>
              <w:spacing w:before="20" w:after="20" w:line="240" w:lineRule="auto"/>
              <w:jc w:val="center"/>
            </w:pPr>
            <w:r>
              <w:rPr>
                <w:color w:val="000000"/>
                <w:sz w:val="18"/>
                <w:szCs w:val="18"/>
              </w:rPr>
              <w:t>X</w:t>
            </w:r>
          </w:p>
        </w:tc>
      </w:tr>
    </w:tbl>
    <w:p w14:paraId="28E1F13C" w14:textId="62FCCBD1" w:rsidR="0083430E" w:rsidRPr="0065684E" w:rsidRDefault="00BF6FC8">
      <w:pPr>
        <w:spacing w:before="60" w:line="240" w:lineRule="auto"/>
        <w:rPr>
          <w:lang w:val="en-GB"/>
        </w:rPr>
      </w:pPr>
      <w:r w:rsidRPr="0065684E">
        <w:rPr>
          <w:color w:val="000000"/>
          <w:sz w:val="18"/>
          <w:szCs w:val="18"/>
          <w:lang w:val="en-GB"/>
        </w:rPr>
        <w:t>Timepoints in months from randomisation. Screen = screening visit; Rand./Base = randomisation and baseline visit; V2 = second visit, two weeks to one month after baseline; Unsch. = unscheduled visit, permitted at any time for suspected ulceration. CMFO = custom-made foot orthosis; SEBIA = Structured Education and Behavioural Intervention Approach; NAFF = Nottingham Assessment of Functional Footcare; VAS = visual analogue scale.</w:t>
      </w:r>
    </w:p>
    <w:p>
      <w:pPr>
        <w:pageBreakBefore/>
        <w:rPr>
          <w:lang w:val="en-GB"/>
        </w:rPr>
      </w:pPr>
      <w:r>
        <w:rPr>
          <w:b/>
          <w:bCs/>
          <w:color w:val="000000"/>
          <w:lang w:val="en-GB"/>
        </w:rPr>
        <w:t xml:space="preserve">Table 2</w:t>
      </w:r>
      <w:r>
        <w:rPr>
          <w:color w:val="000000"/>
          <w:lang w:val="en-GB"/>
        </w:rPr>
        <w:t xml:space="preserve"> PARADISE intervention components: description, deliverer and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4326"/>
        <w:gridCol w:w="1500"/>
        <w:gridCol w:w="1300"/>
      </w:tblGrid>
      <w:tr w:rsidR="0083430E" w14:paraId="3BEFE4C2" w14:textId="77777777">
        <w:trPr>
          <w:tblHeader/>
        </w:trPr>
        <w:tc>
          <w:tcPr>
            <w:tcW w:w="1900" w:type="dxa"/>
          </w:tcPr>
          <w:p w14:paraId="366E982D" w14:textId="77777777" w:rsidR="0083430E" w:rsidRDefault="00BF6FC8">
            <w:pPr>
              <w:spacing w:before="20" w:after="20" w:line="240" w:lineRule="auto"/>
            </w:pPr>
            <w:r>
              <w:rPr>
                <w:b/>
                <w:bCs/>
                <w:color w:val="000000"/>
                <w:sz w:val="18"/>
                <w:szCs w:val="18"/>
              </w:rPr>
              <w:t>Component</w:t>
            </w:r>
          </w:p>
        </w:tc>
        <w:tc>
          <w:tcPr>
            <w:tcW w:w="4326" w:type="dxa"/>
          </w:tcPr>
          <w:p w14:paraId="4BD0B5A9" w14:textId="77777777" w:rsidR="0083430E" w:rsidRDefault="00BF6FC8">
            <w:pPr>
              <w:spacing w:before="20" w:after="20" w:line="240" w:lineRule="auto"/>
            </w:pPr>
            <w:r>
              <w:rPr>
                <w:b/>
                <w:bCs/>
                <w:color w:val="000000"/>
                <w:sz w:val="18"/>
                <w:szCs w:val="18"/>
              </w:rPr>
              <w:t>Description</w:t>
            </w:r>
          </w:p>
        </w:tc>
        <w:tc>
          <w:tcPr>
            <w:tcW w:w="1500" w:type="dxa"/>
          </w:tcPr>
          <w:p w14:paraId="20D600E5" w14:textId="77777777" w:rsidR="0083430E" w:rsidRDefault="00BF6FC8">
            <w:pPr>
              <w:spacing w:before="20" w:after="20" w:line="240" w:lineRule="auto"/>
            </w:pPr>
            <w:r>
              <w:rPr>
                <w:b/>
                <w:bCs/>
                <w:color w:val="000000"/>
                <w:sz w:val="18"/>
                <w:szCs w:val="18"/>
              </w:rPr>
              <w:t>Delivered by</w:t>
            </w:r>
          </w:p>
        </w:tc>
        <w:tc>
          <w:tcPr>
            <w:tcW w:w="1300" w:type="dxa"/>
          </w:tcPr>
          <w:p w14:paraId="4CED0544" w14:textId="77777777" w:rsidR="0083430E" w:rsidRDefault="00BF6FC8">
            <w:pPr>
              <w:spacing w:before="20" w:after="20" w:line="240" w:lineRule="auto"/>
            </w:pPr>
            <w:r>
              <w:rPr>
                <w:b/>
                <w:bCs/>
                <w:color w:val="000000"/>
                <w:sz w:val="18"/>
                <w:szCs w:val="18"/>
              </w:rPr>
              <w:t>Timing</w:t>
            </w:r>
          </w:p>
        </w:tc>
      </w:tr>
      <w:tr w:rsidR="0083430E" w14:paraId="4C434E20" w14:textId="77777777">
        <w:tc>
          <w:tcPr>
            <w:tcW w:w="1900" w:type="dxa"/>
          </w:tcPr>
          <w:p w14:paraId="7D27C542" w14:textId="77777777" w:rsidR="0083430E" w:rsidRDefault="00BF6FC8">
            <w:pPr>
              <w:spacing w:before="20" w:after="20" w:line="240" w:lineRule="auto"/>
            </w:pPr>
            <w:r>
              <w:rPr>
                <w:color w:val="000000"/>
                <w:sz w:val="18"/>
                <w:szCs w:val="18"/>
              </w:rPr>
              <w:t>Baseline plantar-pressure measurement</w:t>
            </w:r>
          </w:p>
        </w:tc>
        <w:tc>
          <w:tcPr>
            <w:tcW w:w="4326" w:type="dxa"/>
          </w:tcPr>
          <w:p w14:paraId="79C76C8F" w14:textId="0470E9EC" w:rsidR="0083430E" w:rsidRPr="0065684E" w:rsidRDefault="00BF6FC8">
            <w:pPr>
              <w:spacing w:before="20" w:after="20" w:line="240" w:lineRule="auto"/>
              <w:rPr>
                <w:lang w:val="en-GB"/>
              </w:rPr>
            </w:pPr>
            <w:r w:rsidRPr="0065684E">
              <w:rPr>
                <w:color w:val="000000"/>
                <w:sz w:val="18"/>
                <w:szCs w:val="18"/>
                <w:lang w:val="en-GB"/>
              </w:rPr>
              <w:t>In-shoe plantar pressure (Novel Pedar; ≥12 mid-gait steps per foot, self-selected comfortable speed, standardised thin cotton socks).</w:t>
            </w:r>
          </w:p>
        </w:tc>
        <w:tc>
          <w:tcPr>
            <w:tcW w:w="1500" w:type="dxa"/>
          </w:tcPr>
          <w:p w14:paraId="729CA641" w14:textId="7ACAAEB7" w:rsidR="0083430E" w:rsidRDefault="00BF6FC8">
            <w:pPr>
              <w:spacing w:before="20" w:after="20" w:line="240" w:lineRule="auto"/>
            </w:pPr>
            <w:r>
              <w:rPr>
                <w:color w:val="000000"/>
                <w:sz w:val="18"/>
                <w:szCs w:val="18"/>
              </w:rPr>
              <w:t>DFC team</w:t>
            </w:r>
          </w:p>
        </w:tc>
        <w:tc>
          <w:tcPr>
            <w:tcW w:w="1300" w:type="dxa"/>
          </w:tcPr>
          <w:p w14:paraId="7EA2F2A3" w14:textId="77777777" w:rsidR="0083430E" w:rsidRDefault="00BF6FC8">
            <w:pPr>
              <w:spacing w:before="20" w:after="20" w:line="240" w:lineRule="auto"/>
            </w:pPr>
            <w:r>
              <w:rPr>
                <w:color w:val="000000"/>
                <w:sz w:val="18"/>
                <w:szCs w:val="18"/>
              </w:rPr>
              <w:t>Baseline</w:t>
            </w:r>
          </w:p>
        </w:tc>
      </w:tr>
      <w:tr w:rsidR="0083430E" w14:paraId="76B8E608" w14:textId="77777777">
        <w:tc>
          <w:tcPr>
            <w:tcW w:w="1900" w:type="dxa"/>
          </w:tcPr>
          <w:p w14:paraId="4D1905A7" w14:textId="77777777" w:rsidR="0083430E" w:rsidRDefault="00BF6FC8">
            <w:pPr>
              <w:spacing w:before="20" w:after="20" w:line="240" w:lineRule="auto"/>
            </w:pPr>
            <w:r>
              <w:rPr>
                <w:color w:val="000000"/>
                <w:sz w:val="18"/>
                <w:szCs w:val="18"/>
              </w:rPr>
              <w:t>CMFO prescription</w:t>
            </w:r>
          </w:p>
        </w:tc>
        <w:tc>
          <w:tcPr>
            <w:tcW w:w="4326" w:type="dxa"/>
          </w:tcPr>
          <w:p w14:paraId="53FAC450" w14:textId="544C1E5B" w:rsidR="0083430E" w:rsidRPr="0065684E" w:rsidRDefault="00BF6FC8">
            <w:pPr>
              <w:spacing w:before="20" w:after="20" w:line="240" w:lineRule="auto"/>
              <w:rPr>
                <w:lang w:val="en-GB"/>
              </w:rPr>
            </w:pPr>
            <w:r w:rsidRPr="0065684E">
              <w:rPr>
                <w:color w:val="000000"/>
                <w:sz w:val="18"/>
                <w:szCs w:val="18"/>
                <w:lang w:val="en-GB"/>
              </w:rPr>
              <w:t xml:space="preserve">Prescription of a custom-made foot orthosis. In fully custom-made footwear: </w:t>
            </w:r>
            <w:r>
              <w:rPr>
                <w:color w:val="000000"/>
                <w:sz w:val="18"/>
                <w:szCs w:val="18"/>
                <w:lang w:val="en-GB"/>
              </w:rPr>
              <w:t>5 mm micro-cork or EVA (shore 50) base</w:t>
            </w:r>
            <w:r w:rsidRPr="0065684E">
              <w:rPr>
                <w:color w:val="000000"/>
                <w:sz w:val="18"/>
                <w:szCs w:val="18"/>
                <w:lang w:val="en-GB"/>
              </w:rPr>
              <w:t xml:space="preserve"> with a 5 mm total-contact EVA layer; </w:t>
            </w:r>
            <w:r>
              <w:rPr>
                <w:color w:val="000000"/>
                <w:sz w:val="18"/>
                <w:szCs w:val="18"/>
                <w:lang w:val="en-GB"/>
              </w:rPr>
              <w:t>in extra-depth off-the-shelf or semi-orthopaedic footwear</w:t>
            </w:r>
            <w:r w:rsidRPr="0065684E">
              <w:rPr>
                <w:color w:val="000000"/>
                <w:sz w:val="18"/>
                <w:szCs w:val="18"/>
                <w:lang w:val="en-GB"/>
              </w:rPr>
              <w:t>: 6 mm EVA without cork. Both with a 3–5 mm medial arch support; a 9–10 mm transmetatarsal bar 6–11 mm proximal to the metatarsal heads; local depth relief; full-length layered closed-cell over open-cell foam top cover.</w:t>
            </w:r>
          </w:p>
        </w:tc>
        <w:tc>
          <w:tcPr>
            <w:tcW w:w="1500" w:type="dxa"/>
          </w:tcPr>
          <w:p w14:paraId="564A1970" w14:textId="77777777" w:rsidR="0083430E" w:rsidRDefault="00BF6FC8">
            <w:pPr>
              <w:spacing w:before="20" w:after="20" w:line="240" w:lineRule="auto"/>
            </w:pPr>
            <w:r>
              <w:rPr>
                <w:color w:val="000000"/>
                <w:sz w:val="18"/>
                <w:szCs w:val="18"/>
              </w:rPr>
              <w:t>Certified pedorthist</w:t>
            </w:r>
          </w:p>
        </w:tc>
        <w:tc>
          <w:tcPr>
            <w:tcW w:w="1300" w:type="dxa"/>
          </w:tcPr>
          <w:p w14:paraId="73BEB87F" w14:textId="77777777" w:rsidR="0083430E" w:rsidRDefault="00BF6FC8">
            <w:pPr>
              <w:spacing w:before="20" w:after="20" w:line="240" w:lineRule="auto"/>
            </w:pPr>
            <w:r>
              <w:rPr>
                <w:color w:val="000000"/>
                <w:sz w:val="18"/>
                <w:szCs w:val="18"/>
              </w:rPr>
              <w:t>Baseline</w:t>
            </w:r>
          </w:p>
        </w:tc>
      </w:tr>
      <w:tr w:rsidR="0083430E" w14:paraId="25AE8E16" w14:textId="77777777">
        <w:tc>
          <w:tcPr>
            <w:tcW w:w="1900" w:type="dxa"/>
          </w:tcPr>
          <w:p w14:paraId="2E5DB186" w14:textId="77777777" w:rsidR="0083430E" w:rsidRPr="0065684E" w:rsidRDefault="00BF6FC8">
            <w:pPr>
              <w:spacing w:before="20" w:after="20" w:line="240" w:lineRule="auto"/>
              <w:rPr>
                <w:lang w:val="en-GB"/>
              </w:rPr>
            </w:pPr>
            <w:r w:rsidRPr="0065684E">
              <w:rPr>
                <w:color w:val="000000"/>
                <w:sz w:val="18"/>
                <w:szCs w:val="18"/>
                <w:lang w:val="en-GB"/>
              </w:rPr>
              <w:t>CMFO delivery and sensor integration</w:t>
            </w:r>
          </w:p>
        </w:tc>
        <w:tc>
          <w:tcPr>
            <w:tcW w:w="4326" w:type="dxa"/>
          </w:tcPr>
          <w:p w14:paraId="5B703BD1" w14:textId="07356620" w:rsidR="0083430E" w:rsidRPr="0065684E" w:rsidRDefault="00BF6FC8">
            <w:pPr>
              <w:spacing w:before="20" w:after="20" w:line="240" w:lineRule="auto"/>
              <w:rPr>
                <w:lang w:val="en-GB"/>
              </w:rPr>
            </w:pPr>
            <w:r w:rsidRPr="0065684E">
              <w:rPr>
                <w:color w:val="000000"/>
                <w:sz w:val="18"/>
                <w:szCs w:val="18"/>
                <w:lang w:val="en-GB"/>
              </w:rPr>
              <w:t xml:space="preserve">Delivery of the manufactured orthosis; integration of the Orthotimer adherence sensor; iterative pressure-guided adjustment to &lt;200 kPa or </w:t>
            </w:r>
            <w:r>
              <w:rPr>
                <w:color w:val="000000"/>
                <w:sz w:val="18"/>
                <w:szCs w:val="18"/>
                <w:lang w:val="en-GB"/>
              </w:rPr>
              <w:t>≥25% reduction relative to the same session without the orthosis, up to three modifications.</w:t>
            </w:r>
          </w:p>
        </w:tc>
        <w:tc>
          <w:tcPr>
            <w:tcW w:w="1500" w:type="dxa"/>
          </w:tcPr>
          <w:p w14:paraId="7BB3AE78" w14:textId="269B7DAB" w:rsidR="0083430E" w:rsidRDefault="00BF6FC8">
            <w:pPr>
              <w:spacing w:before="20" w:after="20" w:line="240" w:lineRule="auto"/>
            </w:pPr>
            <w:r>
              <w:rPr>
                <w:color w:val="000000"/>
                <w:sz w:val="18"/>
                <w:szCs w:val="18"/>
              </w:rPr>
              <w:t>DFC team / pedorthist</w:t>
            </w:r>
          </w:p>
        </w:tc>
        <w:tc>
          <w:tcPr>
            <w:tcW w:w="1300" w:type="dxa"/>
          </w:tcPr>
          <w:p w14:paraId="373920DD" w14:textId="77777777" w:rsidR="0083430E" w:rsidRDefault="00BF6FC8">
            <w:pPr>
              <w:spacing w:before="20" w:after="20" w:line="240" w:lineRule="auto"/>
            </w:pPr>
            <w:r>
              <w:rPr>
                <w:color w:val="000000"/>
                <w:sz w:val="18"/>
                <w:szCs w:val="18"/>
              </w:rPr>
              <w:t>Visit 2 (2 weeks to 1 month)</w:t>
            </w:r>
          </w:p>
        </w:tc>
      </w:tr>
      <w:tr w:rsidR="0083430E" w14:paraId="17EF452B" w14:textId="77777777">
        <w:tc>
          <w:tcPr>
            <w:tcW w:w="1900" w:type="dxa"/>
          </w:tcPr>
          <w:p w14:paraId="348DA6A1" w14:textId="77777777" w:rsidR="0083430E" w:rsidRPr="0065684E" w:rsidRDefault="00BF6FC8">
            <w:pPr>
              <w:spacing w:before="20" w:after="20" w:line="240" w:lineRule="auto"/>
              <w:rPr>
                <w:lang w:val="en-GB"/>
              </w:rPr>
            </w:pPr>
            <w:r w:rsidRPr="0065684E">
              <w:rPr>
                <w:color w:val="000000"/>
                <w:sz w:val="18"/>
                <w:szCs w:val="18"/>
                <w:lang w:val="en-GB"/>
              </w:rPr>
              <w:t>SEBIA Step 1 — education and assessment</w:t>
            </w:r>
          </w:p>
        </w:tc>
        <w:tc>
          <w:tcPr>
            <w:tcW w:w="4326" w:type="dxa"/>
          </w:tcPr>
          <w:p w14:paraId="393E30A7" w14:textId="3630CAC2" w:rsidR="0083430E" w:rsidRDefault="00BF6FC8">
            <w:pPr>
              <w:spacing w:before="20" w:after="20" w:line="240" w:lineRule="auto"/>
            </w:pPr>
            <w:r>
              <w:rPr>
                <w:color w:val="000000"/>
                <w:sz w:val="18"/>
                <w:szCs w:val="18"/>
                <w:lang w:val="en-GB"/>
              </w:rPr>
              <w:t>Foot-care behaviour (NAFF)</w:t>
            </w:r>
            <w:r w:rsidRPr="0065684E">
              <w:rPr>
                <w:color w:val="000000"/>
                <w:sz w:val="18"/>
                <w:szCs w:val="18"/>
                <w:lang w:val="en-GB"/>
              </w:rPr>
              <w:t xml:space="preserve"> and health-literacy assessment; tailored education with written materials, demonstration and supervised practice. </w:t>
            </w:r>
            <w:r>
              <w:rPr>
                <w:color w:val="000000"/>
                <w:sz w:val="18"/>
                <w:szCs w:val="18"/>
              </w:rPr>
              <w:t>Addresses COM-B capability.</w:t>
            </w:r>
          </w:p>
        </w:tc>
        <w:tc>
          <w:tcPr>
            <w:tcW w:w="1500" w:type="dxa"/>
          </w:tcPr>
          <w:p w14:paraId="21DD390E" w14:textId="77777777" w:rsidR="0083430E" w:rsidRDefault="00BF6FC8">
            <w:pPr>
              <w:spacing w:before="20" w:after="20" w:line="240" w:lineRule="auto"/>
            </w:pPr>
            <w:r>
              <w:rPr>
                <w:color w:val="000000"/>
                <w:sz w:val="18"/>
                <w:szCs w:val="18"/>
              </w:rPr>
              <w:t>DFC team</w:t>
            </w:r>
          </w:p>
        </w:tc>
        <w:tc>
          <w:tcPr>
            <w:tcW w:w="1300" w:type="dxa"/>
          </w:tcPr>
          <w:p w14:paraId="3EE2A561" w14:textId="77777777" w:rsidR="0083430E" w:rsidRDefault="00BF6FC8">
            <w:pPr>
              <w:spacing w:before="20" w:after="20" w:line="240" w:lineRule="auto"/>
            </w:pPr>
            <w:r>
              <w:rPr>
                <w:color w:val="000000"/>
                <w:sz w:val="18"/>
                <w:szCs w:val="18"/>
              </w:rPr>
              <w:t>Baseline</w:t>
            </w:r>
          </w:p>
        </w:tc>
      </w:tr>
      <w:tr w:rsidR="0083430E" w14:paraId="39C57924" w14:textId="77777777">
        <w:tc>
          <w:tcPr>
            <w:tcW w:w="1900" w:type="dxa"/>
          </w:tcPr>
          <w:p w14:paraId="513D4EAC" w14:textId="77777777" w:rsidR="0083430E" w:rsidRPr="0065684E" w:rsidRDefault="00BF6FC8">
            <w:pPr>
              <w:spacing w:before="20" w:after="20" w:line="240" w:lineRule="auto"/>
              <w:rPr>
                <w:lang w:val="en-GB"/>
              </w:rPr>
            </w:pPr>
            <w:r w:rsidRPr="0065684E">
              <w:rPr>
                <w:color w:val="000000"/>
                <w:sz w:val="18"/>
                <w:szCs w:val="18"/>
                <w:lang w:val="en-GB"/>
              </w:rPr>
              <w:t>SEBIA Step 2 — footwear-wear education</w:t>
            </w:r>
          </w:p>
        </w:tc>
        <w:tc>
          <w:tcPr>
            <w:tcW w:w="4326" w:type="dxa"/>
          </w:tcPr>
          <w:p w14:paraId="38000456" w14:textId="08DF52D1" w:rsidR="0083430E" w:rsidRDefault="00BF6FC8">
            <w:pPr>
              <w:spacing w:before="20" w:after="20" w:line="240" w:lineRule="auto"/>
            </w:pPr>
            <w:r>
              <w:rPr>
                <w:color w:val="000000"/>
                <w:sz w:val="18"/>
                <w:szCs w:val="18"/>
                <w:lang w:val="en-GB"/>
              </w:rPr>
              <w:t>NAFF repeated; recall checked by teach-back</w:t>
            </w:r>
            <w:r w:rsidRPr="0065684E">
              <w:rPr>
                <w:color w:val="000000"/>
                <w:sz w:val="18"/>
                <w:szCs w:val="18"/>
                <w:lang w:val="en-GB"/>
              </w:rPr>
              <w:t xml:space="preserve">; education on indoor and outdoor footwear use; introduction of sensor-based wear-time monitoring. </w:t>
            </w:r>
            <w:r>
              <w:rPr>
                <w:color w:val="000000"/>
                <w:sz w:val="18"/>
                <w:szCs w:val="18"/>
              </w:rPr>
              <w:t>Addresses capability and opportunity.</w:t>
            </w:r>
          </w:p>
        </w:tc>
        <w:tc>
          <w:tcPr>
            <w:tcW w:w="1500" w:type="dxa"/>
          </w:tcPr>
          <w:p w14:paraId="73B327A3" w14:textId="77777777" w:rsidR="0083430E" w:rsidRDefault="00BF6FC8">
            <w:pPr>
              <w:spacing w:before="20" w:after="20" w:line="240" w:lineRule="auto"/>
            </w:pPr>
            <w:r>
              <w:rPr>
                <w:color w:val="000000"/>
                <w:sz w:val="18"/>
                <w:szCs w:val="18"/>
              </w:rPr>
              <w:t>DFC team</w:t>
            </w:r>
          </w:p>
        </w:tc>
        <w:tc>
          <w:tcPr>
            <w:tcW w:w="1300" w:type="dxa"/>
          </w:tcPr>
          <w:p w14:paraId="3B049499" w14:textId="77777777" w:rsidR="0083430E" w:rsidRDefault="00BF6FC8">
            <w:pPr>
              <w:spacing w:before="20" w:after="20" w:line="240" w:lineRule="auto"/>
            </w:pPr>
            <w:r>
              <w:rPr>
                <w:color w:val="000000"/>
                <w:sz w:val="18"/>
                <w:szCs w:val="18"/>
              </w:rPr>
              <w:t>Visit 2 (2 weeks to 1 month)</w:t>
            </w:r>
          </w:p>
        </w:tc>
      </w:tr>
      <w:tr w:rsidR="0083430E" w14:paraId="199192D2" w14:textId="77777777">
        <w:tc>
          <w:tcPr>
            <w:tcW w:w="1900" w:type="dxa"/>
          </w:tcPr>
          <w:p w14:paraId="67C51F7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w:t>
            </w:r>
          </w:p>
        </w:tc>
        <w:tc>
          <w:tcPr>
            <w:tcW w:w="4326" w:type="dxa"/>
          </w:tcPr>
          <w:p w14:paraId="1054D35A" w14:textId="77777777" w:rsidR="0083430E" w:rsidRDefault="00BF6FC8">
            <w:pPr>
              <w:spacing w:before="20" w:after="20" w:line="240" w:lineRule="auto"/>
            </w:pPr>
            <w:r w:rsidRPr="0065684E">
              <w:rPr>
                <w:color w:val="000000"/>
                <w:sz w:val="18"/>
                <w:szCs w:val="18"/>
                <w:lang w:val="en-GB"/>
              </w:rPr>
              <w:t xml:space="preserve">Participant self-assessment, collaborative and non-judgemental review of sensor data, barrier identification, and problem-solving. </w:t>
            </w:r>
            <w:r>
              <w:rPr>
                <w:color w:val="000000"/>
                <w:sz w:val="18"/>
                <w:szCs w:val="18"/>
              </w:rPr>
              <w:t>It addresses opportunities and motivation.</w:t>
            </w:r>
          </w:p>
        </w:tc>
        <w:tc>
          <w:tcPr>
            <w:tcW w:w="1500" w:type="dxa"/>
          </w:tcPr>
          <w:p w14:paraId="213CE33D" w14:textId="77777777" w:rsidR="0083430E" w:rsidRDefault="00BF6FC8">
            <w:pPr>
              <w:spacing w:before="20" w:after="20" w:line="240" w:lineRule="auto"/>
            </w:pPr>
            <w:r>
              <w:rPr>
                <w:color w:val="000000"/>
                <w:sz w:val="18"/>
                <w:szCs w:val="18"/>
              </w:rPr>
              <w:t>DFC team</w:t>
            </w:r>
          </w:p>
        </w:tc>
        <w:tc>
          <w:tcPr>
            <w:tcW w:w="1300" w:type="dxa"/>
          </w:tcPr>
          <w:p w14:paraId="37E64FD6" w14:textId="7A78C356" w:rsidR="0083430E" w:rsidRDefault="00BF6FC8">
            <w:pPr>
              <w:spacing w:before="20" w:after="20" w:line="240" w:lineRule="auto"/>
            </w:pPr>
            <w:r>
              <w:rPr>
                <w:color w:val="000000"/>
                <w:sz w:val="18"/>
                <w:szCs w:val="18"/>
              </w:rPr>
              <w:t>3, 9 and 15 months</w:t>
            </w:r>
          </w:p>
        </w:tc>
      </w:tr>
      <w:tr w:rsidR="0083430E" w14:paraId="32E936D1" w14:textId="77777777">
        <w:tc>
          <w:tcPr>
            <w:tcW w:w="1900" w:type="dxa"/>
          </w:tcPr>
          <w:p w14:paraId="00BA401C" w14:textId="77777777" w:rsidR="0083430E" w:rsidRDefault="00BF6FC8">
            <w:pPr>
              <w:spacing w:before="20" w:after="20" w:line="240" w:lineRule="auto"/>
            </w:pPr>
            <w:r>
              <w:rPr>
                <w:color w:val="000000"/>
                <w:sz w:val="18"/>
                <w:szCs w:val="18"/>
              </w:rPr>
              <w:t>SEBIA Step 4 — skills demonstration</w:t>
            </w:r>
          </w:p>
        </w:tc>
        <w:tc>
          <w:tcPr>
            <w:tcW w:w="4326" w:type="dxa"/>
          </w:tcPr>
          <w:p w14:paraId="043A2008" w14:textId="77777777" w:rsidR="0083430E" w:rsidRPr="0065684E" w:rsidRDefault="00BF6FC8">
            <w:pPr>
              <w:spacing w:before="20" w:after="20" w:line="240" w:lineRule="auto"/>
              <w:rPr>
                <w:lang w:val="en-GB"/>
              </w:rPr>
            </w:pPr>
            <w:r w:rsidRPr="0065684E">
              <w:rPr>
                <w:color w:val="000000"/>
                <w:sz w:val="18"/>
                <w:szCs w:val="18"/>
                <w:lang w:val="en-GB"/>
              </w:rPr>
              <w:t>Demonstration of foot self-care using the provided equipment; targeted re-education; sensor printouts reviewed against the preceding visit; support matched to the cause of any shortfall.</w:t>
            </w:r>
          </w:p>
        </w:tc>
        <w:tc>
          <w:tcPr>
            <w:tcW w:w="1500" w:type="dxa"/>
          </w:tcPr>
          <w:p w14:paraId="44EB8CAD" w14:textId="77777777" w:rsidR="0083430E" w:rsidRDefault="00BF6FC8">
            <w:pPr>
              <w:spacing w:before="20" w:after="20" w:line="240" w:lineRule="auto"/>
            </w:pPr>
            <w:r>
              <w:rPr>
                <w:color w:val="000000"/>
                <w:sz w:val="18"/>
                <w:szCs w:val="18"/>
              </w:rPr>
              <w:t>DFC team</w:t>
            </w:r>
          </w:p>
        </w:tc>
        <w:tc>
          <w:tcPr>
            <w:tcW w:w="1300" w:type="dxa"/>
          </w:tcPr>
          <w:p w14:paraId="1B80AFE9" w14:textId="05EAA8EA" w:rsidR="0083430E" w:rsidRDefault="00BF6FC8">
            <w:pPr>
              <w:spacing w:before="20" w:after="20" w:line="240" w:lineRule="auto"/>
            </w:pPr>
            <w:r>
              <w:rPr>
                <w:color w:val="000000"/>
                <w:sz w:val="18"/>
                <w:szCs w:val="18"/>
              </w:rPr>
              <w:t>6 and 12 months</w:t>
            </w:r>
          </w:p>
        </w:tc>
      </w:tr>
      <w:tr w:rsidR="0083430E" w14:paraId="7FBF0FAA" w14:textId="77777777">
        <w:tc>
          <w:tcPr>
            <w:tcW w:w="1900" w:type="dxa"/>
          </w:tcPr>
          <w:p w14:paraId="37E8BA1B" w14:textId="77777777" w:rsidR="0083430E" w:rsidRDefault="00BF6FC8">
            <w:pPr>
              <w:spacing w:before="20" w:after="20" w:line="240" w:lineRule="auto"/>
            </w:pPr>
            <w:r>
              <w:rPr>
                <w:color w:val="000000"/>
                <w:sz w:val="18"/>
                <w:szCs w:val="18"/>
              </w:rPr>
              <w:t>SEBIA Step 5 — final review</w:t>
            </w:r>
          </w:p>
        </w:tc>
        <w:tc>
          <w:tcPr>
            <w:tcW w:w="4326" w:type="dxa"/>
          </w:tcPr>
          <w:p w14:paraId="763870E7" w14:textId="77777777" w:rsidR="0083430E" w:rsidRPr="0065684E" w:rsidRDefault="00BF6FC8">
            <w:pPr>
              <w:spacing w:before="20" w:after="20" w:line="240" w:lineRule="auto"/>
              <w:rPr>
                <w:lang w:val="en-GB"/>
              </w:rPr>
            </w:pPr>
            <w:r w:rsidRPr="0065684E">
              <w:rPr>
                <w:color w:val="000000"/>
                <w:sz w:val="18"/>
                <w:szCs w:val="18"/>
                <w:lang w:val="en-GB"/>
              </w:rPr>
              <w:t>Closing foot care demonstration; adherence results shared; no new intervention content delivered.</w:t>
            </w:r>
          </w:p>
        </w:tc>
        <w:tc>
          <w:tcPr>
            <w:tcW w:w="1500" w:type="dxa"/>
          </w:tcPr>
          <w:p w14:paraId="6E50389D" w14:textId="77777777" w:rsidR="0083430E" w:rsidRDefault="00BF6FC8">
            <w:pPr>
              <w:spacing w:before="20" w:after="20" w:line="240" w:lineRule="auto"/>
            </w:pPr>
            <w:r>
              <w:rPr>
                <w:color w:val="000000"/>
                <w:sz w:val="18"/>
                <w:szCs w:val="18"/>
              </w:rPr>
              <w:t>DFC team</w:t>
            </w:r>
          </w:p>
        </w:tc>
        <w:tc>
          <w:tcPr>
            <w:tcW w:w="1300" w:type="dxa"/>
          </w:tcPr>
          <w:p w14:paraId="1698D20E" w14:textId="77777777" w:rsidR="0083430E" w:rsidRDefault="00BF6FC8">
            <w:pPr>
              <w:spacing w:before="20" w:after="20" w:line="240" w:lineRule="auto"/>
            </w:pPr>
            <w:r>
              <w:rPr>
                <w:color w:val="000000"/>
                <w:sz w:val="18"/>
                <w:szCs w:val="18"/>
              </w:rPr>
              <w:t>18 months</w:t>
            </w:r>
          </w:p>
        </w:tc>
      </w:tr>
      <w:tr w:rsidR="0083430E" w:rsidRPr="0065684E" w14:paraId="5D8E2D54" w14:textId="77777777">
        <w:tc>
          <w:tcPr>
            <w:tcW w:w="1900" w:type="dxa"/>
          </w:tcPr>
          <w:p w14:paraId="5FC8EFE1" w14:textId="77777777" w:rsidR="0083430E" w:rsidRDefault="00BF6FC8">
            <w:pPr>
              <w:spacing w:before="20" w:after="20" w:line="240" w:lineRule="auto"/>
            </w:pPr>
            <w:r>
              <w:rPr>
                <w:color w:val="000000"/>
                <w:sz w:val="18"/>
                <w:szCs w:val="18"/>
              </w:rPr>
              <w:t>Sensor-based adherence monitoring</w:t>
            </w:r>
          </w:p>
        </w:tc>
        <w:tc>
          <w:tcPr>
            <w:tcW w:w="4326" w:type="dxa"/>
          </w:tcPr>
          <w:p w14:paraId="3AA78625" w14:textId="77777777" w:rsidR="0083430E" w:rsidRPr="0065684E" w:rsidRDefault="00BF6FC8">
            <w:pPr>
              <w:spacing w:before="20" w:after="20" w:line="240" w:lineRule="auto"/>
              <w:rPr>
                <w:lang w:val="en-GB"/>
              </w:rPr>
            </w:pPr>
            <w:r w:rsidRPr="0065684E">
              <w:rPr>
                <w:color w:val="000000"/>
                <w:sz w:val="18"/>
                <w:szCs w:val="18"/>
                <w:lang w:val="en-GB"/>
              </w:rPr>
              <w:t>Continuous wear-time recording (Orthotimer) and physical-activity profiling (MoveMonitor), underpinning the individualised, activity-derived adherence benchmark.</w:t>
            </w:r>
          </w:p>
        </w:tc>
        <w:tc>
          <w:tcPr>
            <w:tcW w:w="1500" w:type="dxa"/>
          </w:tcPr>
          <w:p w14:paraId="47D21980" w14:textId="165ED76D" w:rsidR="0083430E" w:rsidRPr="0065684E" w:rsidRDefault="00BF6FC8">
            <w:pPr>
              <w:spacing w:before="20" w:after="20" w:line="240" w:lineRule="auto"/>
              <w:rPr>
                <w:lang w:val="en-GB"/>
              </w:rPr>
            </w:pPr>
            <w:r w:rsidRPr="0065684E">
              <w:rPr>
                <w:color w:val="000000"/>
                <w:sz w:val="18"/>
                <w:szCs w:val="18"/>
                <w:lang w:val="en-GB"/>
              </w:rPr>
              <w:t>Participant-worn</w:t>
            </w:r>
          </w:p>
        </w:tc>
        <w:tc>
          <w:tcPr>
            <w:tcW w:w="1300" w:type="dxa"/>
          </w:tcPr>
          <w:p w14:paraId="62291818" w14:textId="77777777" w:rsidR="0083430E" w:rsidRPr="0065684E" w:rsidRDefault="00BF6FC8">
            <w:pPr>
              <w:spacing w:before="20" w:after="20" w:line="240" w:lineRule="auto"/>
              <w:rPr>
                <w:lang w:val="en-GB"/>
              </w:rPr>
            </w:pPr>
            <w:r w:rsidRPr="0065684E">
              <w:rPr>
                <w:color w:val="000000"/>
                <w:sz w:val="18"/>
                <w:szCs w:val="18"/>
                <w:lang w:val="en-GB"/>
              </w:rPr>
              <w:t>Orthotimer continuous, read out every 3 months; MoveMonitor 7 days from visit 2</w:t>
            </w:r>
          </w:p>
        </w:tc>
      </w:tr>
      <w:tr w:rsidR="0083430E" w14:paraId="14340AEF" w14:textId="77777777">
        <w:tc>
          <w:tcPr>
            <w:tcW w:w="1900" w:type="dxa"/>
          </w:tcPr>
          <w:p w14:paraId="326DDCD6" w14:textId="4F7B2FD6" w:rsidR="0083430E" w:rsidRDefault="00BF6FC8">
            <w:pPr>
              <w:spacing w:before="20" w:after="20" w:line="240" w:lineRule="auto"/>
            </w:pPr>
            <w:r>
              <w:rPr>
                <w:color w:val="000000"/>
                <w:sz w:val="18"/>
                <w:szCs w:val="18"/>
              </w:rPr>
              <w:t>CMFO maintenance</w:t>
            </w:r>
          </w:p>
        </w:tc>
        <w:tc>
          <w:tcPr>
            <w:tcW w:w="4326" w:type="dxa"/>
          </w:tcPr>
          <w:p w14:paraId="3BBDD81B" w14:textId="43E70A45" w:rsidR="0083430E" w:rsidRPr="0065684E" w:rsidRDefault="00BF6FC8">
            <w:pPr>
              <w:spacing w:before="20" w:after="20" w:line="240" w:lineRule="auto"/>
              <w:rPr>
                <w:lang w:val="en-GB"/>
              </w:rPr>
            </w:pPr>
            <w:r>
              <w:rPr>
                <w:color w:val="000000"/>
                <w:sz w:val="18"/>
                <w:szCs w:val="18"/>
                <w:lang w:val="en-GB"/>
              </w:rPr>
              <w:t>Duplicate pair made once the pressure targets are met; both pairs checked every three months and serviced in turn, with orthosis or sensor replaced where needed.</w:t>
            </w:r>
          </w:p>
        </w:tc>
        <w:tc>
          <w:tcPr>
            <w:tcW w:w="1500" w:type="dxa"/>
          </w:tcPr>
          <w:p w14:paraId="7D185FE4" w14:textId="1181D7A1" w:rsidR="0083430E" w:rsidRDefault="00BF6FC8">
            <w:pPr>
              <w:spacing w:before="20" w:after="20" w:line="240" w:lineRule="auto"/>
            </w:pPr>
            <w:r>
              <w:rPr>
                <w:color w:val="000000"/>
                <w:sz w:val="18"/>
                <w:szCs w:val="18"/>
              </w:rPr>
              <w:t>Pedorthist</w:t>
            </w:r>
          </w:p>
        </w:tc>
        <w:tc>
          <w:tcPr>
            <w:tcW w:w="1300" w:type="dxa"/>
          </w:tcPr>
          <w:p w14:paraId="2B23B719" w14:textId="3D39F7CE" w:rsidR="0083430E" w:rsidRDefault="00BF6FC8">
            <w:pPr>
              <w:spacing w:before="20" w:after="20" w:line="240" w:lineRule="auto"/>
            </w:pPr>
            <w:r>
              <w:rPr>
                <w:color w:val="000000"/>
                <w:sz w:val="18"/>
                <w:szCs w:val="18"/>
              </w:rPr>
              <w:t>Every 3 months from month 3</w:t>
            </w:r>
          </w:p>
        </w:tc>
      </w:tr>
    </w:tbl>
    <w:p>
      <w:pPr>
        <w:pageBreakBefore/>
        <w:rPr>
          <w:lang w:val="en-GB"/>
        </w:rPr>
      </w:pPr>
      <w:r>
        <w:rPr>
          <w:b/>
          <w:bCs/>
          <w:color w:val="000000"/>
          <w:lang w:val="en-GB"/>
        </w:rPr>
        <w:t xml:space="preserve">Table 3</w:t>
      </w:r>
      <w:r>
        <w:rPr>
          <w:color w:val="000000"/>
          <w:lang w:val="en-GB"/>
        </w:rPr>
        <w:t xml:space="preserve"> Outcome measures: definitions, instruments and timepoints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926"/>
        <w:gridCol w:w="1900"/>
        <w:gridCol w:w="1500"/>
      </w:tblGrid>
      <w:tr w:rsidR="0083430E" w14:paraId="7AA5802B" w14:textId="77777777">
        <w:trPr>
          <w:tblHeader/>
        </w:trPr>
        <w:tc>
          <w:tcPr>
            <w:tcW w:w="1700" w:type="dxa"/>
          </w:tcPr>
          <w:p w14:paraId="66601DC0" w14:textId="77777777" w:rsidR="0083430E" w:rsidRDefault="00BF6FC8">
            <w:pPr>
              <w:spacing w:before="20" w:after="20" w:line="240" w:lineRule="auto"/>
            </w:pPr>
            <w:r>
              <w:rPr>
                <w:b/>
                <w:bCs/>
                <w:color w:val="000000"/>
                <w:sz w:val="18"/>
                <w:szCs w:val="18"/>
              </w:rPr>
              <w:t>Outcome</w:t>
            </w:r>
          </w:p>
        </w:tc>
        <w:tc>
          <w:tcPr>
            <w:tcW w:w="3926" w:type="dxa"/>
          </w:tcPr>
          <w:p w14:paraId="10622931" w14:textId="77777777" w:rsidR="0083430E" w:rsidRDefault="00BF6FC8">
            <w:pPr>
              <w:spacing w:before="20" w:after="20" w:line="240" w:lineRule="auto"/>
            </w:pPr>
            <w:r>
              <w:rPr>
                <w:b/>
                <w:bCs/>
                <w:color w:val="000000"/>
                <w:sz w:val="18"/>
                <w:szCs w:val="18"/>
              </w:rPr>
              <w:t>Definition</w:t>
            </w:r>
          </w:p>
        </w:tc>
        <w:tc>
          <w:tcPr>
            <w:tcW w:w="1900" w:type="dxa"/>
          </w:tcPr>
          <w:p w14:paraId="20D2F97F" w14:textId="77777777" w:rsidR="0083430E" w:rsidRDefault="00BF6FC8">
            <w:pPr>
              <w:spacing w:before="20" w:after="20" w:line="240" w:lineRule="auto"/>
            </w:pPr>
            <w:r>
              <w:rPr>
                <w:b/>
                <w:bCs/>
                <w:color w:val="000000"/>
                <w:sz w:val="18"/>
                <w:szCs w:val="18"/>
              </w:rPr>
              <w:t>Instrument</w:t>
            </w:r>
          </w:p>
        </w:tc>
        <w:tc>
          <w:tcPr>
            <w:tcW w:w="1500" w:type="dxa"/>
          </w:tcPr>
          <w:p w14:paraId="58BA358E" w14:textId="77777777" w:rsidR="0083430E" w:rsidRDefault="00BF6FC8">
            <w:pPr>
              <w:spacing w:before="20" w:after="20" w:line="240" w:lineRule="auto"/>
            </w:pPr>
            <w:r>
              <w:rPr>
                <w:b/>
                <w:bCs/>
                <w:color w:val="000000"/>
                <w:sz w:val="18"/>
                <w:szCs w:val="18"/>
              </w:rPr>
              <w:t>Timepoint(s)</w:t>
            </w:r>
          </w:p>
        </w:tc>
      </w:tr>
      <w:tr w:rsidR="0083430E" w:rsidRPr="0065684E" w14:paraId="39B831FA" w14:textId="77777777">
        <w:tc>
          <w:tcPr>
            <w:tcW w:w="1700" w:type="dxa"/>
          </w:tcPr>
          <w:p w14:paraId="3A32EDEE" w14:textId="77777777" w:rsidR="0083430E" w:rsidRDefault="00BF6FC8">
            <w:pPr>
              <w:spacing w:before="20" w:after="20" w:line="240" w:lineRule="auto"/>
            </w:pPr>
            <w:r>
              <w:rPr>
                <w:color w:val="000000"/>
                <w:sz w:val="18"/>
                <w:szCs w:val="18"/>
              </w:rPr>
              <w:t>Foot ulcer recurrence (primary)</w:t>
            </w:r>
          </w:p>
        </w:tc>
        <w:tc>
          <w:tcPr>
            <w:tcW w:w="3926" w:type="dxa"/>
          </w:tcPr>
          <w:p w14:paraId="4EDE8420" w14:textId="2E0FC0E0" w:rsidR="0083430E" w:rsidRPr="0065684E" w:rsidRDefault="00BF6FC8">
            <w:pPr>
              <w:spacing w:before="20" w:after="20" w:line="240" w:lineRule="auto"/>
              <w:rPr>
                <w:lang w:val="en-GB"/>
              </w:rPr>
            </w:pPr>
            <w:r w:rsidRPr="0065684E">
              <w:rPr>
                <w:color w:val="000000"/>
                <w:sz w:val="18"/>
                <w:szCs w:val="18"/>
                <w:lang w:val="en-GB"/>
              </w:rPr>
              <w:t xml:space="preserve">New ulcer at the same or a different site after complete epithelialisation of a previous ulcer, per the IWGDF definition </w:t>
            </w:r>
            <w:sdt>
              <w:sdtPr>
                <w:tag w:val="CITATION NettenJ23"/>
                <w:id w:val="1258947399"/>
                <w:citation/>
              </w:sdtPr>
              <w:sdtEndPr/>
              <w:sdtContent>
                <w:r>
                  <w:rPr>
                    <w:sz w:val="18"/>
                    <w:szCs w:val="18"/>
                  </w:rPr>
                  <w:fldChar w:fldCharType="begin"/>
                </w:r>
                <w:r w:rsidRPr="0065684E">
                  <w:rPr>
                    <w:sz w:val="18"/>
                    <w:szCs w:val="18"/>
                    <w:lang w:val="en-GB"/>
                  </w:rPr>
                  <w:instrText xml:space="preserve"> CITATION NettenJ23 \l 1033 </w:instrText>
                </w:r>
                <w:r>
                  <w:rPr>
                    <w:sz w:val="18"/>
                    <w:szCs w:val="18"/>
                  </w:rPr>
                  <w:fldChar w:fldCharType="separate"/>
                </w:r>
                <w:r w:rsidRPr="0065684E">
                  <w:rPr>
                    <w:noProof/>
                    <w:sz w:val="18"/>
                    <w:szCs w:val="18"/>
                    <w:lang w:val="en-GB"/>
                  </w:rPr>
                  <w:t>(26)</w:t>
                </w:r>
                <w:r>
                  <w:rPr>
                    <w:sz w:val="18"/>
                    <w:szCs w:val="18"/>
                  </w:rPr>
                  <w:fldChar w:fldCharType="end"/>
                </w:r>
              </w:sdtContent>
            </w:sdt>
            <w:r w:rsidRPr="0065684E">
              <w:rPr>
                <w:color w:val="000000"/>
                <w:sz w:val="18"/>
                <w:szCs w:val="18"/>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1900" w:type="dxa"/>
          </w:tcPr>
          <w:p w14:paraId="497F9019" w14:textId="77777777" w:rsidR="0083430E" w:rsidRPr="0065684E" w:rsidRDefault="00BF6FC8">
            <w:pPr>
              <w:spacing w:before="20" w:after="20" w:line="240" w:lineRule="auto"/>
              <w:rPr>
                <w:lang w:val="en-GB"/>
              </w:rPr>
            </w:pPr>
            <w:r w:rsidRPr="0065684E">
              <w:rPr>
                <w:color w:val="000000"/>
                <w:sz w:val="18"/>
                <w:szCs w:val="18"/>
                <w:lang w:val="en-GB"/>
              </w:rPr>
              <w:t>Systematic clinical foot screening; ulcer status determined by the multidisciplinary team against predefined criteria</w:t>
            </w:r>
          </w:p>
        </w:tc>
        <w:tc>
          <w:tcPr>
            <w:tcW w:w="1500" w:type="dxa"/>
          </w:tcPr>
          <w:p w14:paraId="3DC7EC12" w14:textId="77777777" w:rsidR="0083430E" w:rsidRPr="0065684E" w:rsidRDefault="00BF6FC8">
            <w:pPr>
              <w:spacing w:before="20" w:after="20" w:line="240" w:lineRule="auto"/>
              <w:rPr>
                <w:lang w:val="en-GB"/>
              </w:rPr>
            </w:pPr>
            <w:r w:rsidRPr="0065684E">
              <w:rPr>
                <w:color w:val="000000"/>
                <w:sz w:val="18"/>
                <w:szCs w:val="18"/>
                <w:lang w:val="en-GB"/>
              </w:rPr>
              <w:t>Continuously over 18 months (all scheduled and unscheduled visits)</w:t>
            </w:r>
          </w:p>
        </w:tc>
      </w:tr>
      <w:tr w:rsidR="0083430E" w14:paraId="659C0DC7" w14:textId="77777777">
        <w:tc>
          <w:tcPr>
            <w:tcW w:w="1700" w:type="dxa"/>
          </w:tcPr>
          <w:p w14:paraId="6A620994" w14:textId="77777777" w:rsidR="0083430E" w:rsidRDefault="00BF6FC8">
            <w:pPr>
              <w:spacing w:before="20" w:after="20" w:line="240" w:lineRule="auto"/>
            </w:pPr>
            <w:r>
              <w:rPr>
                <w:color w:val="000000"/>
                <w:sz w:val="18"/>
                <w:szCs w:val="18"/>
              </w:rPr>
              <w:t>Footwear adherence (mediator)</w:t>
            </w:r>
          </w:p>
        </w:tc>
        <w:tc>
          <w:tcPr>
            <w:tcW w:w="3926" w:type="dxa"/>
          </w:tcPr>
          <w:p w14:paraId="4E1650BA" w14:textId="77777777" w:rsidR="0083430E" w:rsidRPr="0065684E" w:rsidRDefault="00BF6FC8">
            <w:pPr>
              <w:spacing w:before="20" w:after="20" w:line="240" w:lineRule="auto"/>
              <w:rPr>
                <w:lang w:val="en-GB"/>
              </w:rPr>
            </w:pPr>
            <w:r w:rsidRPr="0065684E">
              <w:rPr>
                <w:color w:val="000000"/>
                <w:sz w:val="18"/>
                <w:szCs w:val="18"/>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1900" w:type="dxa"/>
          </w:tcPr>
          <w:p w14:paraId="4923C0DE" w14:textId="77777777" w:rsidR="0083430E" w:rsidRPr="0065684E" w:rsidRDefault="00BF6FC8">
            <w:pPr>
              <w:spacing w:before="20" w:after="20" w:line="240" w:lineRule="auto"/>
              <w:rPr>
                <w:lang w:val="en-GB"/>
              </w:rPr>
            </w:pPr>
            <w:r w:rsidRPr="0065684E">
              <w:rPr>
                <w:color w:val="000000"/>
                <w:sz w:val="18"/>
                <w:szCs w:val="18"/>
                <w:lang w:val="en-GB"/>
              </w:rPr>
              <w:t>Orthotimer temperature sensor combined with MoveMonitor activity profile</w:t>
            </w:r>
          </w:p>
        </w:tc>
        <w:tc>
          <w:tcPr>
            <w:tcW w:w="1500" w:type="dxa"/>
          </w:tcPr>
          <w:p w14:paraId="7BAAE18E" w14:textId="77777777" w:rsidR="0083430E" w:rsidRDefault="00BF6FC8">
            <w:pPr>
              <w:spacing w:before="20" w:after="20" w:line="240" w:lineRule="auto"/>
            </w:pPr>
            <w:r w:rsidRPr="0065684E">
              <w:rPr>
                <w:color w:val="000000"/>
                <w:sz w:val="18"/>
                <w:szCs w:val="18"/>
                <w:lang w:val="en-GB"/>
              </w:rPr>
              <w:t xml:space="preserve">Continuous recording; read out at each scheduled visit from the second visit. </w:t>
            </w:r>
            <w:r>
              <w:rPr>
                <w:color w:val="000000"/>
                <w:sz w:val="18"/>
                <w:szCs w:val="18"/>
              </w:rPr>
              <w:t>Primary analysis timepoint: 12 months</w:t>
            </w:r>
          </w:p>
        </w:tc>
      </w:tr>
      <w:tr w:rsidR="0083430E" w14:paraId="042D0729" w14:textId="77777777">
        <w:tc>
          <w:tcPr>
            <w:tcW w:w="1700" w:type="dxa"/>
          </w:tcPr>
          <w:p w14:paraId="2EC97B9D" w14:textId="77777777" w:rsidR="0083430E" w:rsidRDefault="00BF6FC8">
            <w:pPr>
              <w:spacing w:before="20" w:after="20" w:line="240" w:lineRule="auto"/>
            </w:pPr>
            <w:r>
              <w:rPr>
                <w:color w:val="000000"/>
                <w:sz w:val="18"/>
                <w:szCs w:val="18"/>
              </w:rPr>
              <w:t>Plantar-surface ulcer recurrence</w:t>
            </w:r>
          </w:p>
        </w:tc>
        <w:tc>
          <w:tcPr>
            <w:tcW w:w="3926" w:type="dxa"/>
          </w:tcPr>
          <w:p w14:paraId="0297F43B"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on the plantar surface.</w:t>
            </w:r>
          </w:p>
        </w:tc>
        <w:tc>
          <w:tcPr>
            <w:tcW w:w="1900" w:type="dxa"/>
          </w:tcPr>
          <w:p w14:paraId="1A8125C5" w14:textId="77777777" w:rsidR="0083430E" w:rsidRDefault="00BF6FC8">
            <w:pPr>
              <w:spacing w:before="20" w:after="20" w:line="240" w:lineRule="auto"/>
            </w:pPr>
            <w:r>
              <w:rPr>
                <w:color w:val="000000"/>
                <w:sz w:val="18"/>
                <w:szCs w:val="18"/>
              </w:rPr>
              <w:t>Systematic clinical foot screening</w:t>
            </w:r>
          </w:p>
        </w:tc>
        <w:tc>
          <w:tcPr>
            <w:tcW w:w="1500" w:type="dxa"/>
          </w:tcPr>
          <w:p w14:paraId="6792C218" w14:textId="77777777" w:rsidR="0083430E" w:rsidRDefault="00BF6FC8">
            <w:pPr>
              <w:spacing w:before="20" w:after="20" w:line="240" w:lineRule="auto"/>
            </w:pPr>
            <w:r>
              <w:rPr>
                <w:color w:val="000000"/>
                <w:sz w:val="18"/>
                <w:szCs w:val="18"/>
              </w:rPr>
              <w:t>Continuously over 18 months</w:t>
            </w:r>
          </w:p>
        </w:tc>
      </w:tr>
      <w:tr w:rsidR="0083430E" w14:paraId="36AFA10D" w14:textId="77777777">
        <w:tc>
          <w:tcPr>
            <w:tcW w:w="1700" w:type="dxa"/>
          </w:tcPr>
          <w:p w14:paraId="4E786DB6" w14:textId="77777777" w:rsidR="0083430E" w:rsidRPr="0065684E" w:rsidRDefault="00BF6FC8">
            <w:pPr>
              <w:spacing w:before="20" w:after="20" w:line="240" w:lineRule="auto"/>
              <w:rPr>
                <w:lang w:val="en-GB"/>
              </w:rPr>
            </w:pPr>
            <w:r w:rsidRPr="0065684E">
              <w:rPr>
                <w:color w:val="000000"/>
                <w:sz w:val="18"/>
                <w:szCs w:val="18"/>
                <w:lang w:val="en-GB"/>
              </w:rPr>
              <w:t>Recurrent ulcer at personalised high-risk location</w:t>
            </w:r>
          </w:p>
        </w:tc>
        <w:tc>
          <w:tcPr>
            <w:tcW w:w="3926" w:type="dxa"/>
          </w:tcPr>
          <w:p w14:paraId="7D15B355"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at predefined high-risk sites referenced against baseline pressure mapping.</w:t>
            </w:r>
          </w:p>
        </w:tc>
        <w:tc>
          <w:tcPr>
            <w:tcW w:w="1900" w:type="dxa"/>
          </w:tcPr>
          <w:p w14:paraId="448DCA60" w14:textId="77777777" w:rsidR="0083430E" w:rsidRPr="0065684E" w:rsidRDefault="00BF6FC8">
            <w:pPr>
              <w:spacing w:before="20" w:after="20" w:line="240" w:lineRule="auto"/>
              <w:rPr>
                <w:lang w:val="en-GB"/>
              </w:rPr>
            </w:pPr>
            <w:r w:rsidRPr="0065684E">
              <w:rPr>
                <w:color w:val="000000"/>
                <w:sz w:val="18"/>
                <w:szCs w:val="18"/>
                <w:lang w:val="en-GB"/>
              </w:rPr>
              <w:t>Clinical screening against baseline high-risk-location map</w:t>
            </w:r>
          </w:p>
        </w:tc>
        <w:tc>
          <w:tcPr>
            <w:tcW w:w="1500" w:type="dxa"/>
          </w:tcPr>
          <w:p w14:paraId="0E99A084" w14:textId="77777777" w:rsidR="0083430E" w:rsidRDefault="00BF6FC8">
            <w:pPr>
              <w:spacing w:before="20" w:after="20" w:line="240" w:lineRule="auto"/>
            </w:pPr>
            <w:r>
              <w:rPr>
                <w:color w:val="000000"/>
                <w:sz w:val="18"/>
                <w:szCs w:val="18"/>
              </w:rPr>
              <w:t>Continuously over 18 months</w:t>
            </w:r>
          </w:p>
        </w:tc>
      </w:tr>
      <w:tr w:rsidR="0083430E" w14:paraId="3CCD3BD3" w14:textId="77777777">
        <w:tc>
          <w:tcPr>
            <w:tcW w:w="1700" w:type="dxa"/>
          </w:tcPr>
          <w:p w14:paraId="0AC232F0" w14:textId="77777777" w:rsidR="0083430E" w:rsidRDefault="00BF6FC8">
            <w:pPr>
              <w:spacing w:before="20" w:after="20" w:line="240" w:lineRule="auto"/>
            </w:pPr>
            <w:r>
              <w:rPr>
                <w:color w:val="000000"/>
                <w:sz w:val="18"/>
                <w:szCs w:val="18"/>
              </w:rPr>
              <w:t>Ulcer-free survival</w:t>
            </w:r>
          </w:p>
        </w:tc>
        <w:tc>
          <w:tcPr>
            <w:tcW w:w="3926" w:type="dxa"/>
          </w:tcPr>
          <w:p w14:paraId="5728D20A" w14:textId="77777777" w:rsidR="0083430E" w:rsidRDefault="00BF6FC8">
            <w:pPr>
              <w:spacing w:before="20" w:after="20" w:line="240" w:lineRule="auto"/>
            </w:pPr>
            <w:r>
              <w:rPr>
                <w:color w:val="000000"/>
                <w:sz w:val="18"/>
                <w:szCs w:val="18"/>
              </w:rPr>
              <w:t>Ulcer-free survival days.</w:t>
            </w:r>
          </w:p>
        </w:tc>
        <w:tc>
          <w:tcPr>
            <w:tcW w:w="1900" w:type="dxa"/>
          </w:tcPr>
          <w:p w14:paraId="540EB3F5"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531A8E2D" w14:textId="77777777" w:rsidR="0083430E" w:rsidRDefault="00BF6FC8">
            <w:pPr>
              <w:spacing w:before="20" w:after="20" w:line="240" w:lineRule="auto"/>
            </w:pPr>
            <w:r>
              <w:rPr>
                <w:color w:val="000000"/>
                <w:sz w:val="18"/>
                <w:szCs w:val="18"/>
              </w:rPr>
              <w:t>Continuously over 18 months</w:t>
            </w:r>
          </w:p>
        </w:tc>
      </w:tr>
      <w:tr w:rsidR="0083430E" w:rsidRPr="0065684E" w14:paraId="628E887D" w14:textId="77777777">
        <w:tc>
          <w:tcPr>
            <w:tcW w:w="1700" w:type="dxa"/>
          </w:tcPr>
          <w:p w14:paraId="287CE193" w14:textId="77777777" w:rsidR="0083430E" w:rsidRPr="0065684E" w:rsidRDefault="00BF6FC8">
            <w:pPr>
              <w:spacing w:before="20" w:after="20" w:line="240" w:lineRule="auto"/>
              <w:rPr>
                <w:lang w:val="en-GB"/>
              </w:rPr>
            </w:pPr>
            <w:r w:rsidRPr="0065684E">
              <w:rPr>
                <w:color w:val="000000"/>
                <w:sz w:val="18"/>
                <w:szCs w:val="18"/>
                <w:lang w:val="en-GB"/>
              </w:rPr>
              <w:t>Duration of custom-made footwear use</w:t>
            </w:r>
          </w:p>
        </w:tc>
        <w:tc>
          <w:tcPr>
            <w:tcW w:w="3926" w:type="dxa"/>
          </w:tcPr>
          <w:p w14:paraId="59E688A9" w14:textId="77777777" w:rsidR="0083430E" w:rsidRDefault="00BF6FC8">
            <w:pPr>
              <w:spacing w:before="20" w:after="20" w:line="240" w:lineRule="auto"/>
            </w:pPr>
            <w:r>
              <w:rPr>
                <w:color w:val="000000"/>
                <w:sz w:val="18"/>
                <w:szCs w:val="18"/>
              </w:rPr>
              <w:t>Cumulative recorded wear time.</w:t>
            </w:r>
          </w:p>
        </w:tc>
        <w:tc>
          <w:tcPr>
            <w:tcW w:w="1900" w:type="dxa"/>
          </w:tcPr>
          <w:p w14:paraId="7C15A770" w14:textId="77777777" w:rsidR="0083430E" w:rsidRDefault="00BF6FC8">
            <w:pPr>
              <w:spacing w:before="20" w:after="20" w:line="240" w:lineRule="auto"/>
            </w:pPr>
            <w:r>
              <w:rPr>
                <w:color w:val="000000"/>
                <w:sz w:val="18"/>
                <w:szCs w:val="18"/>
              </w:rPr>
              <w:t>Orthotimer temperature sensor</w:t>
            </w:r>
          </w:p>
        </w:tc>
        <w:tc>
          <w:tcPr>
            <w:tcW w:w="1500" w:type="dxa"/>
          </w:tcPr>
          <w:p w14:paraId="65C5710A" w14:textId="77777777" w:rsidR="0083430E" w:rsidRPr="0065684E" w:rsidRDefault="00BF6FC8">
            <w:pPr>
              <w:spacing w:before="20" w:after="20" w:line="240" w:lineRule="auto"/>
              <w:rPr>
                <w:lang w:val="en-GB"/>
              </w:rPr>
            </w:pPr>
            <w:r w:rsidRPr="0065684E">
              <w:rPr>
                <w:color w:val="000000"/>
                <w:sz w:val="18"/>
                <w:szCs w:val="18"/>
                <w:lang w:val="en-GB"/>
              </w:rPr>
              <w:t>Continuous; read-out at scheduled visits</w:t>
            </w:r>
          </w:p>
        </w:tc>
      </w:tr>
      <w:tr w:rsidR="0083430E" w14:paraId="730A569F" w14:textId="77777777">
        <w:tc>
          <w:tcPr>
            <w:tcW w:w="1700" w:type="dxa"/>
          </w:tcPr>
          <w:p w14:paraId="111706EB" w14:textId="77777777" w:rsidR="0083430E" w:rsidRPr="0065684E" w:rsidRDefault="00BF6FC8">
            <w:pPr>
              <w:spacing w:before="20" w:after="20" w:line="240" w:lineRule="auto"/>
              <w:rPr>
                <w:lang w:val="en-GB"/>
              </w:rPr>
            </w:pPr>
            <w:r w:rsidRPr="0065684E">
              <w:rPr>
                <w:color w:val="000000"/>
                <w:sz w:val="18"/>
                <w:szCs w:val="18"/>
                <w:lang w:val="en-GB"/>
              </w:rPr>
              <w:t>In-shoe peak plantar pressure</w:t>
            </w:r>
          </w:p>
        </w:tc>
        <w:tc>
          <w:tcPr>
            <w:tcW w:w="3926" w:type="dxa"/>
          </w:tcPr>
          <w:p w14:paraId="3B71213D" w14:textId="77777777" w:rsidR="0083430E" w:rsidRPr="0065684E" w:rsidRDefault="00BF6FC8">
            <w:pPr>
              <w:spacing w:before="20" w:after="20" w:line="240" w:lineRule="auto"/>
              <w:rPr>
                <w:lang w:val="en-GB"/>
              </w:rPr>
            </w:pPr>
            <w:r w:rsidRPr="0065684E">
              <w:rPr>
                <w:color w:val="000000"/>
                <w:sz w:val="18"/>
                <w:szCs w:val="18"/>
                <w:lang w:val="en-GB"/>
              </w:rPr>
              <w:t>Peak in-shoe plantar pressure at previously ulcerated and high-risk regions; achieved offloading reported as a fidelity measure.</w:t>
            </w:r>
          </w:p>
        </w:tc>
        <w:tc>
          <w:tcPr>
            <w:tcW w:w="1900" w:type="dxa"/>
          </w:tcPr>
          <w:p w14:paraId="7E150004" w14:textId="77777777" w:rsidR="0083430E" w:rsidRPr="0065684E" w:rsidRDefault="00BF6FC8">
            <w:pPr>
              <w:spacing w:before="20" w:after="20" w:line="240" w:lineRule="auto"/>
              <w:rPr>
                <w:lang w:val="en-GB"/>
              </w:rPr>
            </w:pPr>
            <w:r w:rsidRPr="0065684E">
              <w:rPr>
                <w:color w:val="000000"/>
                <w:sz w:val="18"/>
                <w:szCs w:val="18"/>
                <w:lang w:val="en-GB"/>
              </w:rPr>
              <w:t>Novel Pedar in-shoe measurement system</w:t>
            </w:r>
          </w:p>
        </w:tc>
        <w:tc>
          <w:tcPr>
            <w:tcW w:w="1500" w:type="dxa"/>
          </w:tcPr>
          <w:p w14:paraId="06AE9803" w14:textId="2D672A3E" w:rsidR="0083430E" w:rsidRDefault="00BF6FC8">
            <w:pPr>
              <w:spacing w:before="20" w:after="20" w:line="240" w:lineRule="auto"/>
            </w:pPr>
            <w:r>
              <w:rPr>
                <w:color w:val="000000"/>
                <w:sz w:val="18"/>
                <w:szCs w:val="18"/>
              </w:rPr>
              <w:t>Baseline and 6 months (both arms); 12 and 18 months (PARADISE)</w:t>
            </w:r>
          </w:p>
        </w:tc>
      </w:tr>
      <w:tr w:rsidR="0083430E" w14:paraId="06E4B30E" w14:textId="77777777">
        <w:tc>
          <w:tcPr>
            <w:tcW w:w="1700" w:type="dxa"/>
          </w:tcPr>
          <w:p w14:paraId="6EAA000E" w14:textId="77777777" w:rsidR="0083430E" w:rsidRDefault="00BF6FC8">
            <w:pPr>
              <w:spacing w:before="20" w:after="20" w:line="240" w:lineRule="auto"/>
            </w:pPr>
            <w:r>
              <w:rPr>
                <w:color w:val="000000"/>
                <w:sz w:val="18"/>
                <w:szCs w:val="18"/>
              </w:rPr>
              <w:t>Footwear wear-and-tear</w:t>
            </w:r>
          </w:p>
        </w:tc>
        <w:tc>
          <w:tcPr>
            <w:tcW w:w="3926" w:type="dxa"/>
          </w:tcPr>
          <w:p w14:paraId="0AD10151" w14:textId="77777777" w:rsidR="0083430E" w:rsidRPr="0065684E" w:rsidRDefault="00BF6FC8">
            <w:pPr>
              <w:spacing w:before="20" w:after="20" w:line="240" w:lineRule="auto"/>
              <w:rPr>
                <w:lang w:val="en-GB"/>
              </w:rPr>
            </w:pPr>
            <w:r w:rsidRPr="0065684E">
              <w:rPr>
                <w:color w:val="000000"/>
                <w:sz w:val="18"/>
                <w:szCs w:val="18"/>
                <w:lang w:val="en-GB"/>
              </w:rPr>
              <w:t>Score on the validated wear-and-tear scale for therapeutic footwear.</w:t>
            </w:r>
          </w:p>
        </w:tc>
        <w:tc>
          <w:tcPr>
            <w:tcW w:w="1900" w:type="dxa"/>
          </w:tcPr>
          <w:p w14:paraId="0F2C2704" w14:textId="77777777" w:rsidR="0083430E" w:rsidRDefault="00BF6FC8">
            <w:pPr>
              <w:spacing w:before="20" w:after="20" w:line="240" w:lineRule="auto"/>
            </w:pPr>
            <w:r>
              <w:rPr>
                <w:color w:val="000000"/>
                <w:sz w:val="18"/>
                <w:szCs w:val="18"/>
              </w:rPr>
              <w:t>Wear-and-tear scale</w:t>
            </w:r>
          </w:p>
        </w:tc>
        <w:tc>
          <w:tcPr>
            <w:tcW w:w="1500" w:type="dxa"/>
          </w:tcPr>
          <w:p w14:paraId="2BE18CD6" w14:textId="77777777" w:rsidR="0083430E" w:rsidRDefault="00BF6FC8">
            <w:pPr>
              <w:spacing w:before="20" w:after="20" w:line="240" w:lineRule="auto"/>
            </w:pPr>
            <w:r>
              <w:rPr>
                <w:color w:val="000000"/>
                <w:sz w:val="18"/>
                <w:szCs w:val="18"/>
              </w:rPr>
              <w:t>Visit 2, 6, 12 and 18 months</w:t>
            </w:r>
          </w:p>
        </w:tc>
      </w:tr>
      <w:tr w:rsidR="0083430E" w14:paraId="40924953" w14:textId="77777777">
        <w:tc>
          <w:tcPr>
            <w:tcW w:w="1700" w:type="dxa"/>
          </w:tcPr>
          <w:p w14:paraId="0EB5D43D" w14:textId="69CC5055" w:rsidR="0083430E" w:rsidRDefault="00BF6FC8">
            <w:pPr>
              <w:spacing w:before="20" w:after="20" w:line="240" w:lineRule="auto"/>
            </w:pPr>
            <w:r>
              <w:rPr>
                <w:color w:val="000000"/>
                <w:sz w:val="18"/>
                <w:szCs w:val="18"/>
              </w:rPr>
              <w:t>Foot self-care behaviour</w:t>
            </w:r>
          </w:p>
        </w:tc>
        <w:tc>
          <w:tcPr>
            <w:tcW w:w="3926" w:type="dxa"/>
          </w:tcPr>
          <w:p w14:paraId="709BEBD1" w14:textId="5E32B57A" w:rsidR="0083430E" w:rsidRPr="0065684E" w:rsidRDefault="00BF6FC8">
            <w:pPr>
              <w:spacing w:before="20" w:after="20" w:line="240" w:lineRule="auto"/>
              <w:rPr>
                <w:lang w:val="en-GB"/>
              </w:rPr>
            </w:pPr>
            <w:r>
              <w:rPr>
                <w:color w:val="000000"/>
                <w:sz w:val="18"/>
                <w:szCs w:val="18"/>
                <w:lang w:val="en-GB"/>
              </w:rPr>
              <w:t>Self-reported protective foot-care behaviour.</w:t>
            </w:r>
          </w:p>
        </w:tc>
        <w:tc>
          <w:tcPr>
            <w:tcW w:w="1900" w:type="dxa"/>
          </w:tcPr>
          <w:p w14:paraId="28B2B1F4" w14:textId="77777777" w:rsidR="0083430E" w:rsidRPr="0065684E" w:rsidRDefault="00BF6FC8">
            <w:pPr>
              <w:spacing w:before="20" w:after="20" w:line="240" w:lineRule="auto"/>
              <w:rPr>
                <w:lang w:val="en-GB"/>
              </w:rPr>
            </w:pPr>
            <w:r w:rsidRPr="0065684E">
              <w:rPr>
                <w:color w:val="000000"/>
                <w:sz w:val="18"/>
                <w:szCs w:val="18"/>
                <w:lang w:val="en-GB"/>
              </w:rPr>
              <w:t xml:space="preserve">Nottingham Assessment of Functional Footcare (NAFF), 26 items </w:t>
            </w:r>
            <w:sdt>
              <w:sdtPr>
                <w:tag w:val="CITATION SenussiM11"/>
                <w:id w:val="181195959"/>
                <w:citation/>
              </w:sdtPr>
              <w:sdtEndPr/>
              <w:sdtContent>
                <w:r>
                  <w:rPr>
                    <w:sz w:val="18"/>
                    <w:szCs w:val="18"/>
                  </w:rPr>
                  <w:fldChar w:fldCharType="begin"/>
                </w:r>
                <w:r w:rsidRPr="0065684E">
                  <w:rPr>
                    <w:sz w:val="18"/>
                    <w:szCs w:val="18"/>
                    <w:lang w:val="en-GB"/>
                  </w:rPr>
                  <w:instrText xml:space="preserve"> CITATION SenussiM11 \l 1033 </w:instrText>
                </w:r>
                <w:r>
                  <w:rPr>
                    <w:sz w:val="18"/>
                    <w:szCs w:val="18"/>
                  </w:rPr>
                  <w:fldChar w:fldCharType="separate"/>
                </w:r>
                <w:r w:rsidRPr="0065684E">
                  <w:rPr>
                    <w:noProof/>
                    <w:sz w:val="18"/>
                    <w:szCs w:val="18"/>
                    <w:lang w:val="en-GB"/>
                  </w:rPr>
                  <w:t>(60)</w:t>
                </w:r>
                <w:r>
                  <w:rPr>
                    <w:sz w:val="18"/>
                    <w:szCs w:val="18"/>
                  </w:rPr>
                  <w:fldChar w:fldCharType="end"/>
                </w:r>
              </w:sdtContent>
            </w:sdt>
          </w:p>
        </w:tc>
        <w:tc>
          <w:tcPr>
            <w:tcW w:w="1500" w:type="dxa"/>
          </w:tcPr>
          <w:p w14:paraId="6A61AF63" w14:textId="5A68F909" w:rsidR="0083430E" w:rsidRDefault="00BF6FC8">
            <w:pPr>
              <w:spacing w:before="20" w:after="20" w:line="240" w:lineRule="auto"/>
            </w:pPr>
            <w:r>
              <w:rPr>
                <w:color w:val="000000"/>
                <w:sz w:val="18"/>
                <w:szCs w:val="18"/>
              </w:rPr>
              <w:t>Baseline; visit 2 in PARADISE (SEBIA step 2)</w:t>
            </w:r>
          </w:p>
        </w:tc>
      </w:tr>
      <w:tr w:rsidR="0083430E" w14:paraId="5E97D293" w14:textId="77777777">
        <w:tc>
          <w:tcPr>
            <w:tcW w:w="1700" w:type="dxa"/>
          </w:tcPr>
          <w:p w14:paraId="4713BF42" w14:textId="77777777" w:rsidR="0083430E" w:rsidRDefault="00BF6FC8">
            <w:pPr>
              <w:spacing w:before="20" w:after="20" w:line="240" w:lineRule="auto"/>
            </w:pPr>
            <w:r>
              <w:rPr>
                <w:color w:val="000000"/>
                <w:sz w:val="18"/>
                <w:szCs w:val="18"/>
              </w:rPr>
              <w:t>Self-reported footwear adherence</w:t>
            </w:r>
          </w:p>
        </w:tc>
        <w:tc>
          <w:tcPr>
            <w:tcW w:w="3926" w:type="dxa"/>
          </w:tcPr>
          <w:p w14:paraId="5B9D131A" w14:textId="77777777" w:rsidR="0083430E" w:rsidRPr="0065684E" w:rsidRDefault="00BF6FC8">
            <w:pPr>
              <w:spacing w:before="20" w:after="20" w:line="240" w:lineRule="auto"/>
              <w:rPr>
                <w:lang w:val="en-GB"/>
              </w:rPr>
            </w:pPr>
            <w:r w:rsidRPr="0065684E">
              <w:rPr>
                <w:color w:val="000000"/>
                <w:sz w:val="18"/>
                <w:szCs w:val="18"/>
                <w:lang w:val="en-GB"/>
              </w:rPr>
              <w:t>Participant-reported adherence, collected in parallel with sensor data to quantify self-report bias.</w:t>
            </w:r>
          </w:p>
        </w:tc>
        <w:tc>
          <w:tcPr>
            <w:tcW w:w="1900" w:type="dxa"/>
          </w:tcPr>
          <w:p w14:paraId="33F2BB44" w14:textId="77777777" w:rsidR="0083430E" w:rsidRDefault="00BF6FC8">
            <w:pPr>
              <w:spacing w:before="20" w:after="20" w:line="240" w:lineRule="auto"/>
            </w:pPr>
            <w:r>
              <w:rPr>
                <w:color w:val="000000"/>
                <w:sz w:val="18"/>
                <w:szCs w:val="18"/>
              </w:rPr>
              <w:t>Visual analogue scale</w:t>
            </w:r>
          </w:p>
        </w:tc>
        <w:tc>
          <w:tcPr>
            <w:tcW w:w="1500" w:type="dxa"/>
          </w:tcPr>
          <w:p w14:paraId="0206EBFC" w14:textId="77777777" w:rsidR="0083430E" w:rsidRDefault="00BF6FC8">
            <w:pPr>
              <w:spacing w:before="20" w:after="20" w:line="240" w:lineRule="auto"/>
            </w:pPr>
            <w:r>
              <w:rPr>
                <w:color w:val="000000"/>
                <w:sz w:val="18"/>
                <w:szCs w:val="18"/>
              </w:rPr>
              <w:t>3, 6, 9, 12, 15 and 18 months</w:t>
            </w:r>
          </w:p>
        </w:tc>
      </w:tr>
      <w:tr w:rsidR="0083430E" w:rsidRPr="0065684E" w14:paraId="630AE539" w14:textId="77777777">
        <w:tc>
          <w:tcPr>
            <w:tcW w:w="1700" w:type="dxa"/>
          </w:tcPr>
          <w:p w14:paraId="01763BCF" w14:textId="77777777" w:rsidR="0083430E" w:rsidRPr="0065684E" w:rsidRDefault="00BF6FC8">
            <w:pPr>
              <w:spacing w:before="20" w:after="20" w:line="240" w:lineRule="auto"/>
              <w:rPr>
                <w:lang w:val="en-GB"/>
              </w:rPr>
            </w:pPr>
            <w:r w:rsidRPr="0065684E">
              <w:rPr>
                <w:color w:val="000000"/>
                <w:sz w:val="18"/>
                <w:szCs w:val="18"/>
                <w:lang w:val="en-GB"/>
              </w:rPr>
              <w:t>Health-related quality of life</w:t>
            </w:r>
          </w:p>
        </w:tc>
        <w:tc>
          <w:tcPr>
            <w:tcW w:w="3926" w:type="dxa"/>
          </w:tcPr>
          <w:p w14:paraId="2FE1159E" w14:textId="77777777" w:rsidR="0083430E" w:rsidRDefault="00BF6FC8">
            <w:pPr>
              <w:spacing w:before="20" w:after="20" w:line="240" w:lineRule="auto"/>
            </w:pPr>
            <w:r>
              <w:rPr>
                <w:color w:val="000000"/>
                <w:sz w:val="18"/>
                <w:szCs w:val="18"/>
              </w:rPr>
              <w:t>Utility for QALY derivation.</w:t>
            </w:r>
          </w:p>
        </w:tc>
        <w:tc>
          <w:tcPr>
            <w:tcW w:w="1900" w:type="dxa"/>
          </w:tcPr>
          <w:p w14:paraId="690728B0" w14:textId="77777777" w:rsidR="0083430E" w:rsidRDefault="00BF6FC8">
            <w:pPr>
              <w:spacing w:before="20" w:after="20" w:line="240" w:lineRule="auto"/>
            </w:pPr>
            <w:r>
              <w:rPr>
                <w:color w:val="000000"/>
                <w:sz w:val="18"/>
                <w:szCs w:val="18"/>
              </w:rPr>
              <w:t xml:space="preserve">EQ-5D-5L </w:t>
            </w:r>
            <w:sdt>
              <w:sdtPr>
                <w:tag w:val="CITATION HerdmanM11"/>
                <w:id w:val="1835916800"/>
                <w:citation/>
              </w:sdtPr>
              <w:sdtEndPr/>
              <w:sdtContent>
                <w:r>
                  <w:rPr>
                    <w:sz w:val="18"/>
                    <w:szCs w:val="18"/>
                  </w:rPr>
                  <w:fldChar w:fldCharType="begin"/>
                </w:r>
                <w:r>
                  <w:rPr>
                    <w:sz w:val="18"/>
                    <w:szCs w:val="18"/>
                  </w:rPr>
                  <w:instrText xml:space="preserve"> CITATION HerdmanM11 \p 1728 \l 1033 </w:instrText>
                </w:r>
                <w:r>
                  <w:rPr>
                    <w:sz w:val="18"/>
                    <w:szCs w:val="18"/>
                  </w:rPr>
                  <w:fldChar w:fldCharType="separate"/>
                </w:r>
                <w:r>
                  <w:rPr>
                    <w:noProof/>
                    <w:sz w:val="18"/>
                    <w:szCs w:val="18"/>
                  </w:rPr>
                  <w:t>(61)</w:t>
                </w:r>
                <w:r>
                  <w:rPr>
                    <w:sz w:val="18"/>
                    <w:szCs w:val="18"/>
                  </w:rPr>
                  <w:fldChar w:fldCharType="end"/>
                </w:r>
              </w:sdtContent>
            </w:sdt>
          </w:p>
        </w:tc>
        <w:tc>
          <w:tcPr>
            <w:tcW w:w="1500" w:type="dxa"/>
          </w:tcPr>
          <w:p w14:paraId="52B0C88F" w14:textId="77777777" w:rsidR="0083430E" w:rsidRPr="0065684E" w:rsidRDefault="00BF6FC8">
            <w:pPr>
              <w:spacing w:before="20" w:after="20" w:line="240" w:lineRule="auto"/>
              <w:rPr>
                <w:lang w:val="en-GB"/>
              </w:rPr>
            </w:pPr>
            <w:r w:rsidRPr="0065684E">
              <w:rPr>
                <w:color w:val="000000"/>
                <w:sz w:val="18"/>
                <w:szCs w:val="18"/>
                <w:lang w:val="en-GB"/>
              </w:rPr>
              <w:t>Baseline, then every 3 months to 18 months</w:t>
            </w:r>
          </w:p>
        </w:tc>
      </w:tr>
      <w:tr w:rsidR="0083430E" w14:paraId="7B8D7133" w14:textId="77777777">
        <w:tc>
          <w:tcPr>
            <w:tcW w:w="1700" w:type="dxa"/>
          </w:tcPr>
          <w:p w14:paraId="34089C4A" w14:textId="77777777" w:rsidR="0083430E" w:rsidRPr="0065684E" w:rsidRDefault="00BF6FC8">
            <w:pPr>
              <w:spacing w:before="20" w:after="20" w:line="240" w:lineRule="auto"/>
              <w:rPr>
                <w:lang w:val="en-GB"/>
              </w:rPr>
            </w:pPr>
            <w:r w:rsidRPr="0065684E">
              <w:rPr>
                <w:color w:val="000000"/>
                <w:sz w:val="18"/>
                <w:szCs w:val="18"/>
                <w:lang w:val="en-GB"/>
              </w:rPr>
              <w:t>Healthcare resource utilisation and costs</w:t>
            </w:r>
          </w:p>
        </w:tc>
        <w:tc>
          <w:tcPr>
            <w:tcW w:w="3926" w:type="dxa"/>
          </w:tcPr>
          <w:p w14:paraId="4960A1E4" w14:textId="77777777" w:rsidR="0083430E" w:rsidRPr="0065684E" w:rsidRDefault="00BF6FC8">
            <w:pPr>
              <w:spacing w:before="20" w:after="20" w:line="240" w:lineRule="auto"/>
              <w:rPr>
                <w:lang w:val="en-GB"/>
              </w:rPr>
            </w:pPr>
            <w:r w:rsidRPr="0065684E">
              <w:rPr>
                <w:color w:val="000000"/>
                <w:sz w:val="18"/>
                <w:szCs w:val="18"/>
                <w:lang w:val="en-GB"/>
              </w:rPr>
              <w:t>Contacts with healthcare professionals, prescribed footwear and orthotic devices, ulcer-related treatments, hospital admissions and other services, summed over 18 months.</w:t>
            </w:r>
          </w:p>
        </w:tc>
        <w:tc>
          <w:tcPr>
            <w:tcW w:w="1900" w:type="dxa"/>
          </w:tcPr>
          <w:p w14:paraId="1B2F8DF5" w14:textId="77777777" w:rsidR="0083430E" w:rsidRPr="0065684E" w:rsidRDefault="00BF6FC8">
            <w:pPr>
              <w:spacing w:before="20" w:after="20" w:line="240" w:lineRule="auto"/>
              <w:rPr>
                <w:lang w:val="en-GB"/>
              </w:rPr>
            </w:pPr>
            <w:r w:rsidRPr="0065684E">
              <w:rPr>
                <w:color w:val="000000"/>
                <w:sz w:val="18"/>
                <w:szCs w:val="18"/>
                <w:lang w:val="en-GB"/>
              </w:rPr>
              <w:t>iMTA iMCQ and iPCQ; patient diary; medical-record extraction</w:t>
            </w:r>
          </w:p>
        </w:tc>
        <w:tc>
          <w:tcPr>
            <w:tcW w:w="1500" w:type="dxa"/>
          </w:tcPr>
          <w:p w14:paraId="0A65B996" w14:textId="77777777" w:rsidR="0083430E" w:rsidRDefault="00BF6FC8">
            <w:pPr>
              <w:spacing w:before="20" w:after="20" w:line="240" w:lineRule="auto"/>
            </w:pPr>
            <w:r>
              <w:rPr>
                <w:color w:val="000000"/>
                <w:sz w:val="18"/>
                <w:szCs w:val="18"/>
              </w:rPr>
              <w:t>Every 3 months from 3 months</w:t>
            </w:r>
          </w:p>
        </w:tc>
      </w:tr>
      <w:tr w:rsidR="0083430E" w14:paraId="7AAAC6B6" w14:textId="77777777">
        <w:tc>
          <w:tcPr>
            <w:tcW w:w="1700" w:type="dxa"/>
          </w:tcPr>
          <w:p w14:paraId="7C3CBD31" w14:textId="77777777" w:rsidR="0083430E" w:rsidRPr="0065684E" w:rsidRDefault="00BF6FC8">
            <w:pPr>
              <w:spacing w:before="20" w:after="20" w:line="240" w:lineRule="auto"/>
              <w:rPr>
                <w:lang w:val="en-GB"/>
              </w:rPr>
            </w:pPr>
            <w:r w:rsidRPr="0065684E">
              <w:rPr>
                <w:color w:val="000000"/>
                <w:sz w:val="18"/>
                <w:szCs w:val="18"/>
                <w:lang w:val="en-GB"/>
              </w:rPr>
              <w:t>Time to ulceration (ulcer subgroup)</w:t>
            </w:r>
          </w:p>
        </w:tc>
        <w:tc>
          <w:tcPr>
            <w:tcW w:w="3926" w:type="dxa"/>
          </w:tcPr>
          <w:p w14:paraId="4132F0D2" w14:textId="77777777" w:rsidR="0083430E" w:rsidRPr="0065684E" w:rsidRDefault="00BF6FC8">
            <w:pPr>
              <w:spacing w:before="20" w:after="20" w:line="240" w:lineRule="auto"/>
              <w:rPr>
                <w:lang w:val="en-GB"/>
              </w:rPr>
            </w:pPr>
            <w:r w:rsidRPr="0065684E">
              <w:rPr>
                <w:color w:val="000000"/>
                <w:sz w:val="18"/>
                <w:szCs w:val="18"/>
                <w:lang w:val="en-GB"/>
              </w:rPr>
              <w:t>Duration until ulceration among participants who ulcerate.</w:t>
            </w:r>
          </w:p>
        </w:tc>
        <w:tc>
          <w:tcPr>
            <w:tcW w:w="1900" w:type="dxa"/>
          </w:tcPr>
          <w:p w14:paraId="5A4D710B"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67F69B25" w14:textId="77777777" w:rsidR="0083430E" w:rsidRDefault="00BF6FC8">
            <w:pPr>
              <w:spacing w:before="20" w:after="20" w:line="240" w:lineRule="auto"/>
            </w:pPr>
            <w:r>
              <w:rPr>
                <w:color w:val="000000"/>
                <w:sz w:val="18"/>
                <w:szCs w:val="18"/>
              </w:rPr>
              <w:t>Continuously over 18 months</w:t>
            </w:r>
          </w:p>
        </w:tc>
      </w:tr>
      <w:tr w:rsidR="0083430E" w:rsidRPr="0065684E" w14:paraId="2CFE06A6" w14:textId="77777777">
        <w:tc>
          <w:tcPr>
            <w:tcW w:w="1700" w:type="dxa"/>
          </w:tcPr>
          <w:p w14:paraId="04962005" w14:textId="77777777" w:rsidR="0083430E" w:rsidRDefault="00BF6FC8">
            <w:pPr>
              <w:spacing w:before="20" w:after="20" w:line="240" w:lineRule="auto"/>
            </w:pPr>
            <w:r>
              <w:rPr>
                <w:color w:val="000000"/>
                <w:sz w:val="18"/>
                <w:szCs w:val="18"/>
              </w:rPr>
              <w:t>Ulcer severity (ulcer subgroup)</w:t>
            </w:r>
          </w:p>
        </w:tc>
        <w:tc>
          <w:tcPr>
            <w:tcW w:w="3926" w:type="dxa"/>
          </w:tcPr>
          <w:p w14:paraId="0E570283" w14:textId="77777777" w:rsidR="0083430E" w:rsidRDefault="00BF6FC8">
            <w:pPr>
              <w:spacing w:before="20" w:after="20" w:line="240" w:lineRule="auto"/>
            </w:pPr>
            <w:r>
              <w:rPr>
                <w:color w:val="000000"/>
                <w:sz w:val="18"/>
                <w:szCs w:val="18"/>
              </w:rPr>
              <w:t>Severity of recurrent ulceration.</w:t>
            </w:r>
          </w:p>
        </w:tc>
        <w:tc>
          <w:tcPr>
            <w:tcW w:w="1900" w:type="dxa"/>
          </w:tcPr>
          <w:p w14:paraId="3B0812E3" w14:textId="75882E9B" w:rsidR="0083430E" w:rsidRDefault="00BF6FC8">
            <w:pPr>
              <w:spacing w:before="20" w:after="20" w:line="240" w:lineRule="auto"/>
            </w:pPr>
            <w:r>
              <w:rPr>
                <w:color w:val="000000"/>
                <w:sz w:val="18"/>
                <w:szCs w:val="18"/>
              </w:rPr>
              <w:t xml:space="preserve">PEDIS grading; WIfI classification </w:t>
            </w:r>
            <w:sdt>
              <w:sdtPr>
                <w:tag w:val="CITATION MonteiroSoaresM24"/>
                <w:id w:val="1190994349"/>
                <w:citation/>
              </w:sdtPr>
              <w:sdtEndPr/>
              <w:sdtContent>
                <w:r>
                  <w:rPr>
                    <w:sz w:val="18"/>
                    <w:szCs w:val="18"/>
                  </w:rPr>
                  <w:fldChar w:fldCharType="begin"/>
                </w:r>
                <w:r w:rsidRPr="0065684E">
                  <w:rPr>
                    <w:sz w:val="18"/>
                    <w:szCs w:val="18"/>
                    <w:lang w:val="en-GB"/>
                  </w:rPr>
                  <w:instrText xml:space="preserve"> CITATION MonteiroSoaresM24 \l 1033 </w:instrText>
                </w:r>
                <w:r>
                  <w:rPr>
                    <w:sz w:val="18"/>
                    <w:szCs w:val="18"/>
                  </w:rPr>
                  <w:fldChar w:fldCharType="separate"/>
                </w:r>
                <w:r w:rsidRPr="0065684E">
                  <w:rPr>
                    <w:noProof/>
                    <w:sz w:val="18"/>
                    <w:szCs w:val="18"/>
                    <w:lang w:val="en-GB"/>
                  </w:rPr>
                  <w:t>(62)</w:t>
                </w:r>
                <w:r>
                  <w:rPr>
                    <w:sz w:val="18"/>
                    <w:szCs w:val="18"/>
                  </w:rPr>
                  <w:fldChar w:fldCharType="end"/>
                </w:r>
              </w:sdtContent>
            </w:sdt>
          </w:p>
        </w:tc>
        <w:tc>
          <w:tcPr>
            <w:tcW w:w="1500" w:type="dxa"/>
          </w:tcPr>
          <w:p w14:paraId="3FC96A41" w14:textId="77777777" w:rsidR="0083430E" w:rsidRPr="0065684E" w:rsidRDefault="00BF6FC8">
            <w:pPr>
              <w:spacing w:before="20" w:after="20" w:line="240" w:lineRule="auto"/>
              <w:rPr>
                <w:lang w:val="en-GB"/>
              </w:rPr>
            </w:pPr>
            <w:r w:rsidRPr="0065684E">
              <w:rPr>
                <w:color w:val="000000"/>
                <w:sz w:val="18"/>
                <w:szCs w:val="18"/>
                <w:lang w:val="en-GB"/>
              </w:rPr>
              <w:t>All scheduled and unscheduled visits from the second visit</w:t>
            </w:r>
          </w:p>
        </w:tc>
      </w:tr>
      <w:tr w:rsidR="0083430E" w14:paraId="63DF1BE0" w14:textId="77777777">
        <w:tc>
          <w:tcPr>
            <w:tcW w:w="1700" w:type="dxa"/>
          </w:tcPr>
          <w:p w14:paraId="2851C946" w14:textId="77777777" w:rsidR="0083430E" w:rsidRPr="0065684E" w:rsidRDefault="00BF6FC8">
            <w:pPr>
              <w:spacing w:before="20" w:after="20" w:line="240" w:lineRule="auto"/>
              <w:rPr>
                <w:lang w:val="en-GB"/>
              </w:rPr>
            </w:pPr>
            <w:r w:rsidRPr="0065684E">
              <w:rPr>
                <w:color w:val="000000"/>
                <w:sz w:val="18"/>
                <w:szCs w:val="18"/>
                <w:lang w:val="en-GB"/>
              </w:rPr>
              <w:t>Time to healing (ulcer subgroup)</w:t>
            </w:r>
          </w:p>
        </w:tc>
        <w:tc>
          <w:tcPr>
            <w:tcW w:w="3926" w:type="dxa"/>
          </w:tcPr>
          <w:p w14:paraId="64A35A65" w14:textId="77777777" w:rsidR="0083430E" w:rsidRPr="0065684E" w:rsidRDefault="00BF6FC8">
            <w:pPr>
              <w:spacing w:before="20" w:after="20" w:line="240" w:lineRule="auto"/>
              <w:rPr>
                <w:lang w:val="en-GB"/>
              </w:rPr>
            </w:pPr>
            <w:r w:rsidRPr="0065684E">
              <w:rPr>
                <w:color w:val="000000"/>
                <w:sz w:val="18"/>
                <w:szCs w:val="18"/>
                <w:lang w:val="en-GB"/>
              </w:rPr>
              <w:t>Time to complete epithelialisation among participants who ulcerate.</w:t>
            </w:r>
          </w:p>
        </w:tc>
        <w:tc>
          <w:tcPr>
            <w:tcW w:w="1900" w:type="dxa"/>
          </w:tcPr>
          <w:p w14:paraId="69CFB7F8" w14:textId="77777777" w:rsidR="0083430E" w:rsidRPr="0065684E" w:rsidRDefault="00BF6FC8">
            <w:pPr>
              <w:spacing w:before="20" w:after="20" w:line="240" w:lineRule="auto"/>
              <w:rPr>
                <w:lang w:val="en-GB"/>
              </w:rPr>
            </w:pPr>
            <w:r w:rsidRPr="0065684E">
              <w:rPr>
                <w:color w:val="000000"/>
                <w:sz w:val="18"/>
                <w:szCs w:val="18"/>
                <w:lang w:val="en-GB"/>
              </w:rPr>
              <w:t>Derived from occurrence and epithelialisation dates</w:t>
            </w:r>
          </w:p>
        </w:tc>
        <w:tc>
          <w:tcPr>
            <w:tcW w:w="1500" w:type="dxa"/>
          </w:tcPr>
          <w:p w14:paraId="60D198C8" w14:textId="77777777" w:rsidR="0083430E" w:rsidRDefault="00BF6FC8">
            <w:pPr>
              <w:spacing w:before="20" w:after="20" w:line="240" w:lineRule="auto"/>
            </w:pPr>
            <w:r>
              <w:rPr>
                <w:color w:val="000000"/>
                <w:sz w:val="18"/>
                <w:szCs w:val="18"/>
              </w:rPr>
              <w:t>Continuously over 18 months</w:t>
            </w:r>
          </w:p>
        </w:tc>
      </w:tr>
      <w:tr w:rsidR="0083430E" w14:paraId="1E45CF06" w14:textId="77777777">
        <w:tc>
          <w:tcPr>
            <w:tcW w:w="1700" w:type="dxa"/>
          </w:tcPr>
          <w:p w14:paraId="013D5DCF" w14:textId="77777777" w:rsidR="0083430E" w:rsidRDefault="00BF6FC8">
            <w:pPr>
              <w:spacing w:before="20" w:after="20" w:line="240" w:lineRule="auto"/>
            </w:pPr>
            <w:r>
              <w:rPr>
                <w:color w:val="000000"/>
                <w:sz w:val="18"/>
                <w:szCs w:val="18"/>
              </w:rPr>
              <w:t>Process-evaluation outcomes</w:t>
            </w:r>
          </w:p>
        </w:tc>
        <w:tc>
          <w:tcPr>
            <w:tcW w:w="3926" w:type="dxa"/>
          </w:tcPr>
          <w:p w14:paraId="2A448439" w14:textId="77777777" w:rsidR="0083430E" w:rsidRPr="0065684E" w:rsidRDefault="00BF6FC8">
            <w:pPr>
              <w:spacing w:before="20" w:after="20" w:line="240" w:lineRule="auto"/>
              <w:rPr>
                <w:lang w:val="en-GB"/>
              </w:rPr>
            </w:pPr>
            <w:r w:rsidRPr="0065684E">
              <w:rPr>
                <w:color w:val="000000"/>
                <w:sz w:val="18"/>
                <w:szCs w:val="18"/>
                <w:lang w:val="en-GB"/>
              </w:rPr>
              <w:t>Implementation fidelity, dose, reach, adaptations and quality of delivery; acceptability; contextual factors and mechanisms of impact.</w:t>
            </w:r>
          </w:p>
        </w:tc>
        <w:tc>
          <w:tcPr>
            <w:tcW w:w="1900" w:type="dxa"/>
          </w:tcPr>
          <w:p w14:paraId="21915720" w14:textId="77777777" w:rsidR="0083430E" w:rsidRPr="0065684E" w:rsidRDefault="00BF6FC8">
            <w:pPr>
              <w:spacing w:before="20" w:after="20" w:line="240" w:lineRule="auto"/>
              <w:rPr>
                <w:lang w:val="en-GB"/>
              </w:rPr>
            </w:pPr>
            <w:r w:rsidRPr="0065684E">
              <w:rPr>
                <w:color w:val="000000"/>
                <w:sz w:val="18"/>
                <w:szCs w:val="18"/>
                <w:lang w:val="en-GB"/>
              </w:rPr>
              <w:t>Semi-structured interviews; structured observation; therapist diaries; protocol-deviation forms</w:t>
            </w:r>
          </w:p>
        </w:tc>
        <w:tc>
          <w:tcPr>
            <w:tcW w:w="1500" w:type="dxa"/>
          </w:tcPr>
          <w:p w14:paraId="5FC8327D" w14:textId="77777777" w:rsidR="0083430E" w:rsidRDefault="00BF6FC8">
            <w:pPr>
              <w:spacing w:before="20" w:after="20" w:line="240" w:lineRule="auto"/>
            </w:pPr>
            <w:r>
              <w:rPr>
                <w:color w:val="000000"/>
                <w:sz w:val="18"/>
                <w:szCs w:val="18"/>
              </w:rPr>
              <w:t>Throughout the trial</w:t>
            </w:r>
          </w:p>
        </w:tc>
      </w:tr>
    </w:tbl>
    <w:sectPr w:rsidR="0083430E" w:rsidRPr="001C7538">
      <w:headerReference w:type="even" r:id="rId95"/>
      <w:headerReference w:type="default" r:id="rId96"/>
      <w:footerReference w:type="even" r:id="rId97"/>
      <w:footerReference w:type="default" r:id="rId98"/>
      <w:headerReference w:type="first" r:id="rId99"/>
      <w:footerReference w:type="first" r:id="rId100"/>
      <w:pgSz w:w="11906" w:h="16838"/>
      <w:pgMar w:top="1440" w:right="1440" w:bottom="1440" w:left="1440" w:header="708" w:footer="708" w:gutter="0"/>
      <w:lnNumType w:countBy="1" w:restart="continuous"/>
      <w:cols w:space="708"/>
      <w:titlePg/>
      <w:docGrid w:linePitch="360"/>
    </w:sectPr>
  </w:body>
</w:document>
</file>

<file path=word/comments.xml><?xml version="1.0" encoding="utf-8"?>
<w:comments xmlns:w="http://schemas.openxmlformats.org/wordprocessingml/2006/main">
  <w:comment w:id="0" w:author="Claude" w:initials="C" w:date="2026-10-19T12:00:00Z">
    <w:p>
      <w:pPr>
        <w:pStyle w:val="Tekstopmerking"/>
      </w:pPr>
      <w:r>
        <w:rPr>
          <w:rStyle w:val="Verwijzingopmerking"/>
        </w:rPr>
        <w:annotationRef/>
      </w:r>
      <w:r>
        <w:t xml:space="preserve"> Registratienummer verplicht vóór indiening: BMJ Open neemt trialprotocollen alleen met registratie in een ICMJE-register en met ethische goedkeuring.</w:t>
      </w:r>
    </w:p>
  </w:comment>
  <w:comment w:id="1" w:author="Claude" w:initials="C" w:date="2026-10-19T12:00:00Z">
    <w:p>
      <w:pPr>
        <w:pStyle w:val="Tekstopmerking"/>
      </w:pPr>
      <w:r>
        <w:rPr>
          <w:rStyle w:val="Verwijzingopmerking"/>
        </w:rPr>
        <w:annotationRef/>
      </w:r>
      <w:r>
        <w:t xml:space="preserve"> Data uit de planning van 30/9 (Go/No-Go 23/2/2027, 12 maanden inclusie, laatste visite eind augustus 2029). BMJ Open vraagt deze data ook in de cover letter. Protocolversie: 1.0 van 17/5, met amendementen die nog goedgekeurd moeten worden; versienummer nakijken vóór indiening.</w:t>
      </w:r>
    </w:p>
  </w:comment>
  <w:comment w:id="2" w:author="Claude" w:initials="C" w:date="2026-10-19T12:00:00Z">
    <w:p>
      <w:pPr>
        <w:pStyle w:val="Tekstopmerking"/>
      </w:pPr>
      <w:r>
        <w:rPr>
          <w:rStyle w:val="Verwijzingopmerking"/>
        </w:rPr>
        <w:annotationRef/>
      </w:r>
      <w:r>
        <w:t xml:space="preserve"> Voorstel Janou (19/10): MoveMonitor op V2 in plaats van V1, gelijktijdig met de Orthotimer in de nieuwe zool, zodat beide definities van therapietrouw (draagtijd/waaktijd en % stappen in het schoeisel) per deelnemer vergeleken kunnen worden. Nog te bevestigen door de PI; protocol, eCRF, REDCap, ICF en CLAUDE.md staan nog op "alleen baseline" (beslissing 30/9).</w:t>
      </w:r>
    </w:p>
  </w:comment>
  <w:comment w:id="3" w:author="Claude" w:initials="C" w:date="2026-10-19T12:00:00Z">
    <w:p>
      <w:pPr>
        <w:pStyle w:val="Tekstopmerking"/>
      </w:pPr>
      <w:r>
        <w:rPr>
          <w:rStyle w:val="Verwijzingopmerking"/>
        </w:rPr>
        <w:annotationRef/>
      </w:r>
      <w:r>
        <w:t xml:space="preserve"> Nieuw: een concrete mediatiemethode, zoals reviewers die vragen. Laten bevestigen door de statisticus en vastleggen in het SAP.</w:t>
      </w:r>
    </w:p>
  </w:comment>
  <w:comment w:id="4" w:author="Claude" w:initials="C" w:date="2026-10-19T12:00:00Z">
    <w:p>
      <w:pPr>
        <w:pStyle w:val="Tekstopmerking"/>
      </w:pPr>
      <w:r>
        <w:rPr>
          <w:rStyle w:val="Verwijzingopmerking"/>
        </w:rPr>
        <w:annotationRef/>
      </w:r>
      <w:r>
        <w:t xml:space="preserve"> Vervangt "baseline adherence above or below 80%": een subgroep moet vóór de randomisatie gemeten zijn, en de sensoren starten pas op V2 (na SEBIA-stap 1). Gezondheidsgeletterdheid wordt op V1 bij iedereen gemeten. Te bevestigen met de statisticus en in het SAP.</w:t>
      </w:r>
    </w:p>
  </w:comment>
  <w:comment w:id="5" w:author="Claude" w:initials="C" w:date="2026-10-19T12:00:00Z">
    <w:p>
      <w:pPr>
        <w:pStyle w:val="Tekstopmerking"/>
      </w:pPr>
      <w:r>
        <w:rPr>
          <w:rStyle w:val="Verwijzingopmerking"/>
        </w:rPr>
        <w:annotationRef/>
      </w:r>
      <w:r>
        <w:t xml:space="preserve"> Uit het FWO-dossier. Nakijken of de pilootfeedback en het nalezen van de documenten door patiëntvertegenwoordigers zo kloppen; BMJ Open vraagt hier wat er feitelijk gebeurd is.</w:t>
      </w:r>
    </w:p>
  </w:comment>
  <w:comment w:id="6" w:author="Claude" w:initials="C" w:date="2026-10-19T12:00:00Z">
    <w:p>
      <w:pPr>
        <w:pStyle w:val="Tekstopmerking"/>
      </w:pPr>
      <w:r>
        <w:rPr>
          <w:rStyle w:val="Verwijzingopmerking"/>
        </w:rPr>
        <w:annotationRef/>
      </w:r>
      <w:r>
        <w:t xml:space="preserve"> BMJ vraagt een guarantor (meestal de senior of corresponderende auteur). In te vullen.</w:t>
      </w:r>
    </w:p>
  </w:comment>
  <w:comment w:id="7" w:author="Claude" w:initials="C" w:date="2026-10-19T12:00:00Z">
    <w:p>
      <w:pPr>
        <w:pStyle w:val="Tekstopmerking"/>
      </w:pPr>
      <w:r>
        <w:rPr>
          <w:rStyle w:val="Verwijzingopmerking"/>
        </w:rPr>
        <w:annotationRef/>
      </w:r>
      <w:r>
        <w:t xml:space="preserve"> Na goedkeuring: "was approved by ... (S71769, datum)". BMJ Open verwacht de goedkeuring bij indiening.</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6A80" w14:textId="77777777" w:rsidR="004E1645" w:rsidRDefault="004E1645">
      <w:pPr>
        <w:spacing w:before="0" w:after="0" w:line="240" w:lineRule="auto"/>
      </w:pPr>
      <w:r>
        <w:separator/>
      </w:r>
    </w:p>
  </w:endnote>
  <w:endnote w:type="continuationSeparator" w:id="0">
    <w:p w14:paraId="0E37A406" w14:textId="77777777" w:rsidR="004E1645" w:rsidRDefault="004E16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D6D6" w14:textId="77777777" w:rsidR="004E1645" w:rsidRDefault="004E1645">
      <w:pPr>
        <w:spacing w:before="0" w:after="0" w:line="240" w:lineRule="auto"/>
      </w:pPr>
      <w:r>
        <w:separator/>
      </w:r>
    </w:p>
  </w:footnote>
  <w:footnote w:type="continuationSeparator" w:id="0">
    <w:p w14:paraId="0494A394" w14:textId="77777777" w:rsidR="004E1645" w:rsidRDefault="004E164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4424EB"/>
    <w:rsid w:val="004E164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87A37"/>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2340/16501977-2494"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3325/cmj.2007.6.871" TargetMode="External"/><Relationship Id="rId68" Type="http://schemas.openxmlformats.org/officeDocument/2006/relationships/hyperlink" Target="https://doi.org/10.1007/s40273-013-0032-y" TargetMode="External"/><Relationship Id="rId84" Type="http://schemas.openxmlformats.org/officeDocument/2006/relationships/hyperlink" Target="https://doi.org/10.1001/jama.2024.21972" TargetMode="External"/><Relationship Id="rId89" Type="http://schemas.openxmlformats.org/officeDocument/2006/relationships/hyperlink" Target="https://doi.org/10.1186/s13047-020-00383-2" TargetMode="Externa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pure.eur.nl/en/publications/8ff97d79-c1e5-4d66-a13f-3128f892f6b5" TargetMode="External"/><Relationship Id="rId79" Type="http://schemas.openxmlformats.org/officeDocument/2006/relationships/hyperlink" Target="https://doi.org/10.1186/s13012-016-0506-3"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dmrr.3160" TargetMode="External"/><Relationship Id="rId95" Type="http://schemas.openxmlformats.org/officeDocument/2006/relationships/header" Target="header1.xm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64" Type="http://schemas.openxmlformats.org/officeDocument/2006/relationships/hyperlink" Target="https://www.ich.org/page/efficacy-guidelines" TargetMode="External"/><Relationship Id="rId69" Type="http://schemas.openxmlformats.org/officeDocument/2006/relationships/hyperlink" Target="https://www.ich.org/page/efficacy-guidelines" TargetMode="External"/><Relationship Id="rId80" Type="http://schemas.openxmlformats.org/officeDocument/2006/relationships/hyperlink" Target="https://doi.org/10.1016/s0140-6736(25)00770-6" TargetMode="External"/><Relationship Id="rId85" Type="http://schemas.openxmlformats.org/officeDocument/2006/relationships/hyperlink" Target="https://doi.org/10.1007/s00125-019-05020-7" TargetMode="Externa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37/dc25-3113"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eur-lex.europa.eu/eli/reg/2016/679/oj" TargetMode="External"/><Relationship Id="rId67" Type="http://schemas.openxmlformats.org/officeDocument/2006/relationships/hyperlink" Target="https://doi.org/10.1002/dmrr.2697"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80/19466315.2022.2081601"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00125-008-1089-6" TargetMode="External"/><Relationship Id="rId83" Type="http://schemas.openxmlformats.org/officeDocument/2006/relationships/hyperlink" Target="https://doi.org/10.1186/1757-1146-6-19" TargetMode="External"/><Relationship Id="rId88" Type="http://schemas.openxmlformats.org/officeDocument/2006/relationships/hyperlink" Target="https://doi.org/10.1007/s13300-024-01601-x" TargetMode="External"/><Relationship Id="rId91" Type="http://schemas.openxmlformats.org/officeDocument/2006/relationships/hyperlink" Target="https://doi.org/10.1002/dmrr.3273"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eur-lex.europa.eu/eli/reg/2017/745/oj" TargetMode="External"/><Relationship Id="rId65" Type="http://schemas.openxmlformats.org/officeDocument/2006/relationships/hyperlink" Target="https://doi.org/10.4103/2229-3485.83221" TargetMode="External"/><Relationship Id="rId73" Type="http://schemas.openxmlformats.org/officeDocument/2006/relationships/hyperlink" Target="https://doi.org/10.1007/s41669-022-00353-3" TargetMode="External"/><Relationship Id="rId78" Type="http://schemas.openxmlformats.org/officeDocument/2006/relationships/hyperlink" Target="https://doi.org/10.1136/bmj.h1258" TargetMode="External"/><Relationship Id="rId81" Type="http://schemas.openxmlformats.org/officeDocument/2006/relationships/hyperlink" Target="https://doi.org/10.1016/j.socscimed.2012.08.032" TargetMode="External"/><Relationship Id="rId86" Type="http://schemas.openxmlformats.org/officeDocument/2006/relationships/hyperlink" Target="https://doi.org/10.7326/m17-0046" TargetMode="External"/><Relationship Id="rId94" Type="http://schemas.openxmlformats.org/officeDocument/2006/relationships/hyperlink" Target="https://doi.org/10.1002/dmrr.3648"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007/s001250100013"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3390/diabetology7040070" TargetMode="External"/><Relationship Id="rId92" Type="http://schemas.openxmlformats.org/officeDocument/2006/relationships/hyperlink" Target="https://doi.org/10.12968/ijtr.2011.18.6.330"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186/s13063-023-07635-z"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doi.org/10.1016/s2213-2600(16)30179-5" TargetMode="External"/><Relationship Id="rId87" Type="http://schemas.openxmlformats.org/officeDocument/2006/relationships/hyperlink" Target="https://doi.org/10.1016/j.jclinepi.2020.04.005" TargetMode="External"/><Relationship Id="rId61" Type="http://schemas.openxmlformats.org/officeDocument/2006/relationships/hyperlink" Target="https://www.ich.org/page/efficacy-guidelines" TargetMode="External"/><Relationship Id="rId82" Type="http://schemas.openxmlformats.org/officeDocument/2006/relationships/hyperlink" Target="https://doi.org/10.1007/s40290-023-00503-w" TargetMode="External"/><Relationship Id="rId19" Type="http://schemas.openxmlformats.org/officeDocument/2006/relationships/hyperlink" Target="https://doi.org/10.1016/s2589-7500(19)30128-1" TargetMode="External"/><Relationship Id="rId14" Type="http://schemas.openxmlformats.org/officeDocument/2006/relationships/hyperlink" Target="https://doi.org/10.1002/dmrr.3237"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56" Type="http://schemas.openxmlformats.org/officeDocument/2006/relationships/hyperlink" Target="https://doi.org/10.1016/s0140-6736(21)00789-3" TargetMode="External"/><Relationship Id="rId77" Type="http://schemas.openxmlformats.org/officeDocument/2006/relationships/hyperlink" Target="https://doi.org/10.2337/diacare.27.4.901" TargetMode="External"/><Relationship Id="rId100" Type="http://schemas.openxmlformats.org/officeDocument/2006/relationships/footer" Target="footer3.xm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36/bmj-2021-067975" TargetMode="External"/><Relationship Id="rId93" Type="http://schemas.openxmlformats.org/officeDocument/2006/relationships/hyperlink" Target="https://doi.org/10.1007/s11136-011-9903-x" TargetMode="External"/><Relationship Id="rId98" Type="http://schemas.openxmlformats.org/officeDocument/2006/relationships/footer" Target="footer2.xml"/><Relationship Id="rId3" Type="http://schemas.openxmlformats.org/officeDocument/2006/relationships/styles" Target="styles.xml"/><Relationship Id="rIdBmjComments" Type="http://schemas.openxmlformats.org/officeDocument/2006/relationships/comments" Target="comment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
    <b:Tag>VanderWeeleT16</b:Tag>
    <b:SourceType>JournalArticle</b:SourceType>
    <b:Guid>{02a8ed4c-1f74-543f-9a4a-18902917c0df}</b:Guid>
    <b:Title>Mediation analysis: a practitioner's guide</b:Title>
    <b:Year>2016</b:Year>
    <b:URL>https://doi.org/10.1146/annurev-publhealth-032315-021402</b:URL>
    <b:Author>
      <b:Author>
        <b:NameList>
          <b:Person>
            <b:Last>VanderWeele</b:Last>
          </b:Person>
        </b:NameList>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21512</Words>
  <Characters>118322</Characters>
  <Application>Microsoft Office Word</Application>
  <DocSecurity>0</DocSecurity>
  <Lines>986</Lines>
  <Paragraphs>279</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2026-10-19T13:04:00Z</dcterms:created>
  <dcterms:modified xsi:type="dcterms:W3CDTF">2026-10-19T13:04:00Z</dcterms:modified>
</cp:coreProperties>
</file>