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02118A0">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F83A5C" w:rsidRDefault="0070738C" w:rsidP="00434E0F">
      <w:pPr>
        <w:rPr>
          <w:rFonts w:ascii="Calibri" w:hAnsi="Calibri" w:cs="Calibri"/>
          <w:sz w:val="24"/>
          <w:szCs w:val="32"/>
        </w:rPr>
      </w:pPr>
      <w:r w:rsidRPr="00F83A5C">
        <w:rPr>
          <w:rFonts w:ascii="Calibri" w:hAnsi="Calibri" w:cs="Calibri"/>
          <w:b/>
          <w:sz w:val="24"/>
          <w:szCs w:val="32"/>
        </w:rPr>
        <w:t>Clinical Site subinvestigators</w:t>
      </w:r>
    </w:p>
    <w:p w14:paraId="07B31886" w14:textId="6A93C949" w:rsidR="0070738C" w:rsidRPr="00F83A5C" w:rsidRDefault="0070738C" w:rsidP="0070738C">
      <w:pPr>
        <w:spacing w:after="0" w:line="240" w:lineRule="auto"/>
        <w:rPr>
          <w:rFonts w:ascii="Calibri" w:hAnsi="Calibri" w:cs="Calibri"/>
          <w:sz w:val="24"/>
          <w:szCs w:val="32"/>
        </w:rPr>
      </w:pPr>
      <w:r w:rsidRPr="00F83A5C">
        <w:rPr>
          <w:rFonts w:ascii="Calibri" w:hAnsi="Calibri" w:cs="Calibri"/>
          <w:szCs w:val="32"/>
        </w:rPr>
        <w:t>Prof. Giovanni Matricali</w:t>
      </w:r>
      <w:r w:rsidRPr="00F83A5C">
        <w:rPr>
          <w:rFonts w:ascii="Calibri" w:hAnsi="Calibri" w:cs="Calibri"/>
          <w:szCs w:val="32"/>
        </w:rPr>
        <w:tab/>
      </w:r>
      <w:r w:rsidRPr="00F83A5C">
        <w:rPr>
          <w:rFonts w:ascii="Calibri" w:hAnsi="Calibri" w:cs="Calibri"/>
          <w:sz w:val="24"/>
          <w:szCs w:val="32"/>
        </w:rPr>
        <w:tab/>
      </w:r>
      <w:r w:rsidRPr="00F83A5C">
        <w:rPr>
          <w:rFonts w:ascii="Calibri" w:hAnsi="Calibri" w:cs="Calibri"/>
          <w:sz w:val="24"/>
          <w:szCs w:val="32"/>
        </w:rPr>
        <w:tab/>
        <w:t>______________________</w:t>
      </w:r>
      <w:r w:rsidRPr="00F83A5C">
        <w:rPr>
          <w:rFonts w:ascii="Calibri" w:hAnsi="Calibri" w:cs="Calibri"/>
          <w:sz w:val="24"/>
          <w:szCs w:val="32"/>
        </w:rPr>
        <w:tab/>
      </w:r>
      <w:r w:rsidRPr="00F83A5C">
        <w:rPr>
          <w:rFonts w:ascii="Calibri" w:hAnsi="Calibri" w:cs="Calibri"/>
          <w:sz w:val="24"/>
          <w:szCs w:val="32"/>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pPr>
        <w:pStyle w:val="Kop1"/>
      </w:pPr>
      <w:r>
        <w:t>Glossary of Roles</w:t>
      </w:r>
    </w:p>
    <w:p>
      <w:pPr/>
      <w:r>
        <w:t>For clarity, the following roles are used consistently throughout this protocol:</w:t>
      </w:r>
    </w:p>
    <w:p>
      <w:pPr/>
      <w:r>
        <w:rPr>
          <w:b/>
        </w:rPr>
        <w:t xml:space="preserve">Sponsor: </w:t>
      </w:r>
      <w:r>
        <w:t>KU Leuven, the legal entity responsible for the initiation and management of the study.</w:t>
      </w:r>
    </w:p>
    <w:p>
      <w:pPr/>
      <w:r>
        <w:rPr>
          <w:b/>
        </w:rPr>
        <w:t xml:space="preserve">Coordinating Investigator (CI): </w:t>
      </w:r>
      <w:r>
        <w:t>Prof. Kevin Deschamps. Responsible for supervising the general conduct of the study across all participating sites (study progress, communication, protocol training and support of participating sites, annual reporting to the Ethics Committee).</w:t>
      </w:r>
    </w:p>
    <w:p>
      <w:pPr/>
      <w:r>
        <w:rPr>
          <w:b/>
        </w:rPr>
        <w:t xml:space="preserve">Principal Investigator (PI): </w:t>
      </w:r>
      <w:r>
        <w:t>The lead investigator at each participating Diabetic Foot Clinic (DFC), responsible for the conduct of the study at that site and for protecting the rights, safety and well-being of participants at that site.</w:t>
      </w:r>
    </w:p>
    <w:p>
      <w:pPr/>
      <w:r>
        <w:rPr>
          <w:b/>
        </w:rPr>
        <w:t xml:space="preserve">Investigator: </w:t>
      </w:r>
      <w:r>
        <w:t>Collective term referring to both the PI and the CI (“PI and CI shall each be referred to as ‘Investigator(s)’”, §5.1).</w:t>
      </w:r>
    </w:p>
    <w:p>
      <w:pPr/>
      <w:r>
        <w:rPr>
          <w:b/>
        </w:rPr>
        <w:t xml:space="preserve">PARADISE therapist: </w:t>
      </w:r>
      <w:r>
        <w:t>A healthcare professional delivering the PARADISE intervention at a participating DFC — in practice, a podiatrist, nurse, pedorthist, or physician who is a pre-designated site staff member (eCRF-Document 03/04).</w:t>
      </w:r>
    </w:p>
    <w:p>
      <w:pPr/>
      <w:r>
        <w:rPr>
          <w:b/>
        </w:rPr>
        <w:t xml:space="preserve">Podiatrist: </w:t>
      </w:r>
      <w:r>
        <w:t>Site staff member responsible for foot and footwear screening, education, and adherence follow-up.</w:t>
      </w:r>
    </w:p>
    <w:p>
      <w:pPr/>
      <w:r>
        <w:rPr>
          <w:b/>
        </w:rPr>
        <w:t xml:space="preserve">Pedorthist: </w:t>
      </w:r>
      <w:r>
        <w:t>Certified professional responsible for manufacturing and fitting the custom-made foot orthosis (CMFO).</w:t>
      </w:r>
    </w:p>
    <w:p>
      <w:pPr/>
      <w:r>
        <w:rPr>
          <w:b/>
        </w:rPr>
        <w:t xml:space="preserve">Physician / treating physician / diabetologist: </w:t>
      </w:r>
      <w:r>
        <w:t>Medical doctor at the participating site (e.g. diabetologist, vascular surgeon) responsible for medical evaluation, safety oversight, and clinical decision-making.</w:t>
      </w:r>
    </w:p>
    <w:p>
      <w:pPr/>
      <w:r>
        <w:rPr>
          <w:b/>
        </w:rPr>
        <w:t xml:space="preserve">Footwear technician: </w:t>
      </w:r>
      <w:r>
        <w:t>Site staff member involved in the technical aspects of footwear fitting and adjustment.</w:t>
      </w:r>
    </w:p>
    <w:p>
      <w:pPr/>
      <w:r>
        <w:rPr>
          <w:b/>
        </w:rPr>
        <w:t xml:space="preserve">Care pathway lead: </w:t>
      </w:r>
      <w:r>
        <w:t>Local staff member at each participating site responsible for the organisational implementation of the PARADISE care pathway; considered, together with the site PI, an organisational stakeholder in the process evaluation (§5.6/§7.1).</w:t>
      </w:r>
    </w:p>
    <w:p>
      <w:pPr/>
      <w:r>
        <w:rPr>
          <w:b/>
        </w:rPr>
        <w:t xml:space="preserve">Research team / study team: </w:t>
      </w:r>
      <w:r>
        <w:t>The PARADISE research staff (including the PhD students, see below) responsible for F-Scan GO measurements, data collection, and overall trial coordination — distinct from site personnel who deliver routine clinical care.</w:t>
      </w:r>
    </w:p>
    <w:p>
      <w:pPr/>
      <w:r>
        <w:rPr>
          <w:b/>
        </w:rPr>
        <w:t xml:space="preserve">PhD student: </w:t>
      </w:r>
      <w:r>
        <w:t>One of the two doctoral researchers supporting trial conduct, recruitment, and data collection as part of the research team (§4.2, §5.2.2).</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w:t>
          </w:r>
          <w:r w:rsidR="00B353D0" w:rsidRPr="6898190B">
            <w:rPr>
              <w:rFonts w:ascii="Calibri" w:hAnsi="Calibri" w:cs="Calibri"/>
              <w:color w:val="000000" w:themeColor="text1"/>
              <w:vertAlign w:val="superscript"/>
            </w:rPr>
            <w:t>7</w:t>
          </w:r>
          <w:r w:rsidR="00B353D0">
            <w:rPr>
              <w:rFonts w:ascii="Calibri" w:hAnsi="Calibri" w:cs="Calibri"/>
              <w:color w:val="000000" w:themeColor="text1"/>
              <w:vertAlign w:val="superscript"/>
            </w:rPr>
            <w:t>,</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2EBFD396"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37</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eCRF-Document 47: Ulcus-vervolgformulier), occurrence of infection (classified using PEDIS/WIfI; eCRF-Document 36/38), and occurrence of major (above-ankle) or minor (below-ankle) amputation (captured via adverse 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 (Staniszewska et al., Diabetes Care 2024;47(11):1958–1968)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w:t>
      </w:r>
      <w:r w:rsidRPr="6575C696">
        <w:rPr>
          <w:rFonts w:ascii="Calibri" w:hAnsi="Calibri" w:cs="Calibri"/>
        </w:rPr>
        <w:lastRenderedPageBreak/>
        <w:t xml:space="preserve">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69C7B0BE" w:rsidR="00EA337F" w:rsidRPr="00273BD4" w:rsidRDefault="078D26DF" w:rsidP="01D944E3">
      <w:pPr>
        <w:jc w:val="both"/>
        <w:rPr>
          <w:rFonts w:ascii="Calibri" w:hAnsi="Calibri" w:cs="Calibri"/>
        </w:rPr>
      </w:pPr>
      <w:r w:rsidRPr="6898190B">
        <w:rPr>
          <w:rFonts w:ascii="Calibri" w:hAnsi="Calibri" w:cs="Calibri"/>
        </w:rPr>
        <w:t xml:space="preserve">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54D48DE2"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(eCRF-Document 44: Fidelity Checklist SEBIA Intervention),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local study team.</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local study team.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Default="00831550" w:rsidP="01D944E3">
      <w:pPr>
        <w:spacing w:after="0" w:line="240" w:lineRule="auto"/>
        <w:contextualSpacing/>
        <w:jc w:val="both"/>
        <w:rPr>
          <w:i/>
          <w:color w:val="FF0000"/>
          <w:lang w:val="nl-BE"/>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xml:space="preserve">. In current practice, the interventions targeting patient education are not always offered in a structured way based on a state-of-the-art protocol, adherence to footcare and footwear practices of patients is not </w:t>
      </w:r>
      <w:r w:rsidRPr="14A59B64">
        <w:rPr>
          <w:rFonts w:ascii="Calibri" w:hAnsi="Calibri" w:cs="Calibri"/>
        </w:rPr>
        <w:lastRenderedPageBreak/>
        <w:t>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14A59B64">
        <w:rPr>
          <w:rFonts w:ascii="Calibri" w:hAnsi="Calibri" w:cs="Calibri"/>
          <w:b/>
          <w:bCs/>
        </w:rPr>
        <w:t>eCRF-Document 23 (fitting and verification)</w:t>
      </w:r>
      <w:r w:rsidR="000876ED" w:rsidRPr="14A59B64">
        <w:rPr>
          <w:rFonts w:ascii="Calibri" w:hAnsi="Calibri" w:cs="Calibri"/>
        </w:rPr>
        <w:t xml:space="preserve"> and </w:t>
      </w:r>
      <w:r w:rsidR="000876ED" w:rsidRPr="14A59B64">
        <w:rPr>
          <w:rFonts w:ascii="Calibri" w:hAnsi="Calibri" w:cs="Calibri"/>
          <w:b/>
          <w:bCs/>
        </w:rPr>
        <w:t>eCRF-Document 24b (Excel-based peak pressure and offloading follow-up tool</w:t>
      </w:r>
      <w:r w:rsidR="002D44A9" w:rsidRPr="14A59B64">
        <w:rPr>
          <w:rFonts w:ascii="Calibri" w:hAnsi="Calibri" w:cs="Calibri"/>
          <w:b/>
          <w:bCs/>
        </w:rPr>
        <w:t>)</w:t>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407EB53" w14:textId="214FED01" w:rsidR="00A628AB" w:rsidRPr="00F83A5C" w:rsidRDefault="006A65A9" w:rsidP="004E3F41">
      <w:pPr>
        <w:spacing w:after="0" w:line="240" w:lineRule="auto"/>
        <w:contextualSpacing/>
        <w:jc w:val="both"/>
        <w:rPr>
          <w:lang w:val="nl-BE"/>
        </w:rPr>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w:t>
      </w:r>
      <w:r w:rsidR="004E3F41" w:rsidRPr="004E3F41">
        <w:rPr>
          <w:rFonts w:ascii="Calibri" w:hAnsi="Calibri" w:cs="Calibri"/>
        </w:rPr>
        <w:lastRenderedPageBreak/>
        <w:t>returned for use, ensuring that both pairs remain available throughout the follow-up period. The exchange of pairs will therefore occur during scheduled maintenance visits only and will not require participants to alternate pairs on a daily basis.</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w:t>
      </w:r>
      <w:r w:rsidRPr="00532DE3">
        <w:rPr>
          <w:rFonts w:ascii="Calibri" w:hAnsi="Calibri" w:cs="Calibri"/>
          <w:color w:val="000000" w:themeColor="text1"/>
        </w:rPr>
        <w:lastRenderedPageBreak/>
        <w:t>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F83A5C" w:rsidRDefault="009D211C">
      <w:pPr>
        <w:rPr>
          <w:rFonts w:ascii="Calibri" w:hAnsi="Calibri" w:cs="Calibri"/>
          <w:lang w:val="nl-BE"/>
        </w:rPr>
      </w:pPr>
    </w:p>
    <w:p w14:paraId="772FEA93" w14:textId="77777777" w:rsidR="009D211C" w:rsidRPr="00F83A5C" w:rsidRDefault="009D211C">
      <w:pPr>
        <w:rPr>
          <w:rFonts w:ascii="Calibri" w:hAnsi="Calibri" w:cs="Calibri"/>
          <w:lang w:val="nl-BE"/>
        </w:rPr>
      </w:pPr>
    </w:p>
    <w:p w14:paraId="6F00DD45" w14:textId="77777777" w:rsidR="009D211C" w:rsidRPr="00F83A5C" w:rsidRDefault="009D211C">
      <w:pPr>
        <w:rPr>
          <w:rFonts w:ascii="Calibri" w:hAnsi="Calibri" w:cs="Calibri"/>
          <w:lang w:val="nl-BE"/>
        </w:rPr>
      </w:pPr>
    </w:p>
    <w:p w14:paraId="38E36B24" w14:textId="77777777" w:rsidR="009D211C" w:rsidRPr="00F83A5C" w:rsidRDefault="009D211C">
      <w:pPr>
        <w:rPr>
          <w:rFonts w:ascii="Calibri" w:hAnsi="Calibri" w:cs="Calibri"/>
          <w:lang w:val="nl-BE"/>
        </w:rPr>
      </w:pPr>
    </w:p>
    <w:p w14:paraId="052D265D" w14:textId="77777777" w:rsidR="009D211C" w:rsidRPr="00F83A5C" w:rsidRDefault="009D211C">
      <w:pPr>
        <w:rPr>
          <w:rFonts w:ascii="Calibri" w:hAnsi="Calibri" w:cs="Calibri"/>
          <w:lang w:val="nl-BE"/>
        </w:rPr>
      </w:pPr>
    </w:p>
    <w:p w14:paraId="2489F177" w14:textId="77777777" w:rsidR="009D211C" w:rsidRPr="00F83A5C" w:rsidRDefault="009D211C">
      <w:pPr>
        <w:rPr>
          <w:rFonts w:ascii="Calibri" w:hAnsi="Calibri" w:cs="Calibri"/>
          <w:lang w:val="nl-BE"/>
        </w:rPr>
      </w:pPr>
    </w:p>
    <w:p w14:paraId="4876BC95" w14:textId="77777777" w:rsidR="009D211C" w:rsidRPr="00F83A5C" w:rsidRDefault="009D211C">
      <w:pPr>
        <w:rPr>
          <w:rFonts w:ascii="Calibri" w:hAnsi="Calibri" w:cs="Calibri"/>
          <w:lang w:val="nl-BE"/>
        </w:rPr>
      </w:pPr>
    </w:p>
    <w:p w14:paraId="7A92F777" w14:textId="77777777" w:rsidR="009D211C" w:rsidRPr="00F83A5C" w:rsidRDefault="009D211C">
      <w:pPr>
        <w:rPr>
          <w:rFonts w:ascii="Calibri" w:hAnsi="Calibri" w:cs="Calibri"/>
          <w:lang w:val="nl-BE"/>
        </w:rPr>
      </w:pPr>
    </w:p>
    <w:p w14:paraId="3EE2AC97" w14:textId="77777777" w:rsidR="009D211C" w:rsidRPr="00F83A5C" w:rsidRDefault="009D211C">
      <w:pPr>
        <w:rPr>
          <w:rFonts w:ascii="Calibri" w:hAnsi="Calibri" w:cs="Calibri"/>
          <w:lang w:val="nl-BE"/>
        </w:rPr>
      </w:pPr>
    </w:p>
    <w:p w14:paraId="07E3CE36" w14:textId="77777777" w:rsidR="009D211C" w:rsidRPr="00F83A5C" w:rsidRDefault="009D211C">
      <w:pPr>
        <w:rPr>
          <w:rFonts w:ascii="Calibri" w:hAnsi="Calibri" w:cs="Calibri"/>
          <w:lang w:val="nl-BE"/>
        </w:rPr>
      </w:pPr>
    </w:p>
    <w:p w14:paraId="6AF997D3" w14:textId="77777777" w:rsidR="009D211C" w:rsidRPr="00F83A5C" w:rsidRDefault="009D211C">
      <w:pPr>
        <w:rPr>
          <w:rFonts w:ascii="Calibri" w:hAnsi="Calibri" w:cs="Calibri"/>
          <w:lang w:val="nl-BE"/>
        </w:rPr>
      </w:pPr>
    </w:p>
    <w:p w14:paraId="50CF6477" w14:textId="77777777" w:rsidR="009D211C" w:rsidRPr="00F83A5C" w:rsidRDefault="009D211C">
      <w:pPr>
        <w:rPr>
          <w:rFonts w:ascii="Calibri" w:hAnsi="Calibri" w:cs="Calibri"/>
          <w:lang w:val="nl-BE"/>
        </w:rPr>
      </w:pPr>
    </w:p>
    <w:p w14:paraId="1B78939C" w14:textId="77777777" w:rsidR="009D211C" w:rsidRPr="00F83A5C" w:rsidRDefault="009D211C">
      <w:pPr>
        <w:rPr>
          <w:rFonts w:ascii="Calibri" w:hAnsi="Calibri" w:cs="Calibri"/>
          <w:lang w:val="nl-BE"/>
        </w:rPr>
      </w:pPr>
    </w:p>
    <w:p w14:paraId="7EECC2FB" w14:textId="77777777" w:rsidR="009D211C" w:rsidRPr="00F83A5C" w:rsidRDefault="009D211C">
      <w:pPr>
        <w:rPr>
          <w:rFonts w:ascii="Calibri" w:hAnsi="Calibri" w:cs="Calibri"/>
          <w:lang w:val="nl-BE"/>
        </w:rPr>
      </w:pPr>
    </w:p>
    <w:p w14:paraId="6732263A" w14:textId="77777777" w:rsidR="009D211C" w:rsidRPr="00F83A5C" w:rsidRDefault="009D211C">
      <w:pPr>
        <w:rPr>
          <w:rFonts w:ascii="Calibri" w:hAnsi="Calibri" w:cs="Calibri"/>
          <w:lang w:val="nl-BE"/>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 (Staniszewska et al., Diabetologia 2026; https://doi.org/10.1007/s00125-026-06815-1)</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 this assessment is repeated at study completion (Visit 8, month 18) to evaluate change over time</w:t>
      </w:r>
      <w:commentRangeStart w:id="35"/>
      <w:commentRangeEnd w:id="35"/>
      <w:r w:rsidRPr="00273BD4">
        <w:rPr>
          <w:rStyle w:val="Verwijzingopmerking"/>
          <w:rFonts w:ascii="Calibri" w:hAnsi="Calibri" w:cs="Calibri"/>
          <w:sz w:val="22"/>
          <w:szCs w:val="22"/>
        </w:rPr>
        <w:commentReference w:id="35"/>
      </w:r>
    </w:p>
    <w:p w14:paraId="4DC76706" w14:textId="77777777" w:rsidR="00A628AB" w:rsidRDefault="00000000">
      <w:r w:rsidRPr="00192FE3">
        <w:rPr>
          <w:i/>
          <w:color w:val="FF0000"/>
          <w:lang w:val="nl-BE"/>
        </w:rPr>
        <w:t>[Opgelost — beslist: eCRF-document 12 wordt afgenomen bij baseline (V1) én herhaald bij afsluiting van de interventie (V8, maand 18), om verandering in tevredenheid te meten. Toegevoegd aan §5.5.5 en verwijzing toegevoegd bij de baseline-vermelding in §5.5.2.]</w:t>
      </w:r>
      <w:r w:rsidRPr="00192FE3">
        <w:rPr>
          <w:i/>
          <w:color w:val="FF0000"/>
          <w:lang w:val="nl-BE"/>
        </w:rPr>
      </w:r>
      <w:r>
        <w:rPr>
          <w:i/>
          <w:color w:val="FF0000"/>
        </w:rPr>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6" w:name="_Toc229929336"/>
      <w:r w:rsidRPr="00273BD4">
        <w:t>5.5.3. Visit 2 - Assessments (</w:t>
      </w:r>
      <w:r w:rsidR="00726E52" w:rsidRPr="00273BD4">
        <w:t>14 days</w:t>
      </w:r>
      <w:r w:rsidR="00AA4B69" w:rsidRPr="00273BD4">
        <w:t>- 1 month</w:t>
      </w:r>
      <w:r w:rsidRPr="00273BD4">
        <w:t>)</w:t>
      </w:r>
      <w:bookmarkEnd w:id="36"/>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7" w:name="_Toc229929337"/>
      <w:r w:rsidRPr="00273BD4">
        <w:lastRenderedPageBreak/>
        <w:t>5.5.4. Visits 3 to 8- Assessments (month 3 to month 18)</w:t>
      </w:r>
      <w:bookmarkEnd w:id="37"/>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8" w:name="_Toc229929338"/>
      <w:r w:rsidRPr="00273BD4">
        <w:t>5.5.5. Visit 4-6 and 8 – Additional Assessments (month 6-12-18)</w:t>
      </w:r>
      <w:bookmarkEnd w:id="38"/>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9" w:name="_Toc229929339"/>
      <w:r w:rsidRPr="00273BD4">
        <w:t>5.5.6. Unscheduled assessments due to foot ulceration</w:t>
      </w:r>
      <w:bookmarkEnd w:id="39"/>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r w:rsidRPr="001A7EEE">
        <w:rPr>
          <w:rStyle w:val="whitespace-normal"/>
          <w:rFonts w:ascii="Calibri" w:hAnsi="Calibri" w:cs="Calibri"/>
          <w:sz w:val="22"/>
          <w:szCs w:val="22"/>
        </w:rPr>
      </w:r>
      <w:r w:rsidRPr="001A7EEE">
        <w:rPr>
          <w:rFonts w:ascii="Calibri" w:hAnsi="Calibri" w:cs="Calibri"/>
          <w:sz w:val="22"/>
          <w:szCs w:val="22"/>
        </w:rPr>
      </w:r>
    </w:p>
    <w:p w14:paraId="147B3C84" w14:textId="482D61C2" w:rsidR="00550668" w:rsidRPr="001A7EEE" w:rsidRDefault="00550668" w:rsidP="00550668">
      <w:pPr>
        <w:pStyle w:val="Kop2"/>
      </w:pPr>
      <w:bookmarkStart w:id="40" w:name="_Toc229929340"/>
      <w:r w:rsidRPr="001A7EEE">
        <w:t xml:space="preserve">5.6. </w:t>
      </w:r>
      <w:r w:rsidR="0004151A" w:rsidRPr="001A7EEE">
        <w:t>Design and timeline p</w:t>
      </w:r>
      <w:r w:rsidRPr="001A7EEE">
        <w:t>rocess evaluation</w:t>
      </w:r>
      <w:bookmarkEnd w:id="40"/>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 xml:space="preserve">eCRF-Document 41: </w:t>
      </w:r>
      <w:r w:rsidR="003E0194" w:rsidRPr="001A7EEE">
        <w:rPr>
          <w:rFonts w:ascii="Calibri" w:eastAsia="Cambria" w:hAnsi="Calibri" w:cs="Calibri"/>
          <w:b/>
          <w:bCs/>
          <w:color w:val="EE0000"/>
        </w:rPr>
        <w:lastRenderedPageBreak/>
        <w:t>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[Opgelost — geherformuleerd naar 3 stakeholdergroepen (patienten, therapeuten, organisatorische stakeholders), consistent met de 3 eCRF-interviewgidsen (41/42/43) en met §7.1; 12–16 per groep = 36–48 interviews in totaal, i.p.v. het foutieve ‘32’.]</w:t>
      </w:r>
    </w:p>
    <w:p w14:paraId="35302858" w14:textId="11DC5538" w:rsidR="006E2DEF" w:rsidRPr="00273BD4" w:rsidRDefault="00000756" w:rsidP="006E2DEF">
      <w:pPr>
        <w:pStyle w:val="Kop1"/>
        <w:rPr>
          <w:rFonts w:cs="Calibri"/>
        </w:rPr>
      </w:pPr>
      <w:bookmarkStart w:id="41" w:name="_Toc229929341"/>
      <w:r w:rsidRPr="00273BD4">
        <w:rPr>
          <w:rFonts w:cs="Calibri"/>
        </w:rPr>
        <w:t>6</w:t>
      </w:r>
      <w:r w:rsidR="006E2DEF" w:rsidRPr="00273BD4">
        <w:rPr>
          <w:rFonts w:cs="Calibri"/>
        </w:rPr>
        <w:t>. Assessments of Safety</w:t>
      </w:r>
      <w:bookmarkEnd w:id="41"/>
    </w:p>
    <w:p w14:paraId="031CFD58" w14:textId="52EBA632" w:rsidR="006E2DEF" w:rsidRPr="00273BD4" w:rsidRDefault="006E2DEF" w:rsidP="006E2DEF">
      <w:pPr>
        <w:pStyle w:val="Kop2"/>
        <w:rPr>
          <w:rFonts w:cs="Calibri"/>
        </w:rPr>
      </w:pPr>
      <w:bookmarkStart w:id="42" w:name="_Toc229929342"/>
      <w:r w:rsidRPr="00273BD4">
        <w:rPr>
          <w:rFonts w:cs="Calibri"/>
        </w:rPr>
        <w:t>6.1. Specification, timing and recording of safety parameters</w:t>
      </w:r>
      <w:bookmarkEnd w:id="42"/>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eCRF-Document 46 (AE/SAE Report Form).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eCRF-Document 46 (AE/SAE Report Form).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3" w:name="_Toc229929343"/>
      <w:r w:rsidRPr="001A7EEE">
        <w:rPr>
          <w:rFonts w:cs="Calibri"/>
        </w:rPr>
        <w:t xml:space="preserve">6.2. </w:t>
      </w:r>
      <w:r w:rsidR="006E2DEF" w:rsidRPr="001A7EEE">
        <w:rPr>
          <w:rFonts w:cs="Calibri"/>
        </w:rPr>
        <w:t>Adverse events that do not require reporting</w:t>
      </w:r>
      <w:bookmarkEnd w:id="43"/>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lastRenderedPageBreak/>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4" w:name="_Toc229929344"/>
      <w:r w:rsidRPr="001A7EEE">
        <w:t xml:space="preserve">6.3. </w:t>
      </w:r>
      <w:r w:rsidR="006E2DEF" w:rsidRPr="001A7EEE">
        <w:t>Treatment stopping / interruption rules</w:t>
      </w:r>
      <w:bookmarkEnd w:id="44"/>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Due to Adverse Event: A medical consult is offered where the continuation of care will be discussed. If further care is needed, the patient will be referred to a specialist; If the further </w:t>
      </w:r>
      <w:r w:rsidRPr="001A7EEE">
        <w:rPr>
          <w:rFonts w:ascii="Calibri" w:hAnsi="Calibri" w:cs="Calibri"/>
          <w:sz w:val="22"/>
          <w:szCs w:val="22"/>
          <w:lang w:val="en-GB"/>
        </w:rPr>
        <w:lastRenderedPageBreak/>
        <w:t>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5" w:name="_Toc229929345"/>
      <w:bookmarkEnd w:id="31"/>
      <w:r w:rsidRPr="00273BD4">
        <w:rPr>
          <w:rFonts w:cs="Calibri"/>
        </w:rPr>
        <w:t>7. Statistics and Data Analysis</w:t>
      </w:r>
      <w:bookmarkEnd w:id="45"/>
    </w:p>
    <w:p w14:paraId="79F4DBCD" w14:textId="772981A5" w:rsidR="00544161" w:rsidRPr="00273BD4" w:rsidRDefault="00544161" w:rsidP="00544161">
      <w:pPr>
        <w:pStyle w:val="Kop2"/>
        <w:rPr>
          <w:rFonts w:cs="Calibri"/>
        </w:rPr>
      </w:pPr>
      <w:bookmarkStart w:id="46" w:name="_Toc229929346"/>
      <w:r w:rsidRPr="00273BD4">
        <w:rPr>
          <w:rFonts w:cs="Calibri"/>
        </w:rPr>
        <w:t>7.1. Statistical analysis plan</w:t>
      </w:r>
      <w:bookmarkEnd w:id="46"/>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[Opgelost — de openingszin beschreef enkel het ulcusrecidief-eindpunt (3 varianten) maar noemde dit ‘de twee primaire eindpunten’; herschreven naar ‘het eerste co-primaire eindpunt’. De statistische toets voor adherentie (het tweede co-primaire eindpunt) stond eigenlijk al verderop in dezelfde paragraaf (independent samples T-test) — nu expliciet gelabeld als ‘het tweede co-primaire eindpunt’ voor duidelijkheid.]</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w:t>
      </w:r>
      <w:r w:rsidRPr="001A7EEE">
        <w:rPr>
          <w:rFonts w:ascii="Calibri" w:hAnsi="Calibri" w:cs="Calibri"/>
        </w:rPr>
        <w:lastRenderedPageBreak/>
        <w:t>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7" w:name="_Toc229929347"/>
      <w:r w:rsidRPr="00273BD4">
        <w:rPr>
          <w:rFonts w:cs="Calibri"/>
        </w:rPr>
        <w:t>8</w:t>
      </w:r>
      <w:r w:rsidR="00204979" w:rsidRPr="00273BD4">
        <w:rPr>
          <w:rFonts w:cs="Calibri"/>
        </w:rPr>
        <w:t>. Data handling</w:t>
      </w:r>
      <w:bookmarkEnd w:id="47"/>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8" w:name="_Toc229929348"/>
      <w:r w:rsidRPr="001A7EEE">
        <w:rPr>
          <w:rFonts w:cs="Calibri"/>
        </w:rPr>
        <w:t>8</w:t>
      </w:r>
      <w:r w:rsidR="00204979" w:rsidRPr="001A7EEE">
        <w:rPr>
          <w:rFonts w:cs="Calibri"/>
        </w:rPr>
        <w:t>.1. General data handling information</w:t>
      </w:r>
      <w:bookmarkEnd w:id="48"/>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9" w:name="_Toc229929349"/>
      <w:r w:rsidRPr="00273BD4">
        <w:rPr>
          <w:rFonts w:cs="Calibri"/>
        </w:rPr>
        <w:t>8.2. Confidentiality</w:t>
      </w:r>
      <w:bookmarkEnd w:id="49"/>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50"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50"/>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1"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1"/>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2"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2"/>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3" w:name="_Toc229929353"/>
      <w:r w:rsidRPr="00273BD4">
        <w:rPr>
          <w:rFonts w:cs="Calibri"/>
        </w:rPr>
        <w:t>8.</w:t>
      </w:r>
      <w:r w:rsidR="009168CA" w:rsidRPr="00273BD4">
        <w:rPr>
          <w:rFonts w:cs="Calibri"/>
        </w:rPr>
        <w:t>6</w:t>
      </w:r>
      <w:r w:rsidRPr="00273BD4">
        <w:rPr>
          <w:rFonts w:cs="Calibri"/>
        </w:rPr>
        <w:t>. Study specific data handling information</w:t>
      </w:r>
      <w:bookmarkEnd w:id="53"/>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4" w:name="_Toc229929354"/>
      <w:r w:rsidRPr="001A7EEE">
        <w:rPr>
          <w:rFonts w:cs="Calibri"/>
        </w:rPr>
        <w:t>8.7. Direct Data Access</w:t>
      </w:r>
      <w:bookmarkEnd w:id="54"/>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5" w:name="_Toc229929355"/>
      <w:r w:rsidRPr="00273BD4">
        <w:rPr>
          <w:rFonts w:cs="Calibri"/>
        </w:rPr>
        <w:t xml:space="preserve">8.8. </w:t>
      </w:r>
      <w:r w:rsidR="005A3CFE" w:rsidRPr="00273BD4">
        <w:rPr>
          <w:rFonts w:cs="Calibri"/>
        </w:rPr>
        <w:t>Oversight and monitoring</w:t>
      </w:r>
      <w:bookmarkEnd w:id="55"/>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6" w:name="_Toc229929356"/>
      <w:r w:rsidRPr="00273BD4">
        <w:rPr>
          <w:rFonts w:cs="Calibri"/>
        </w:rPr>
        <w:t>9. Ethical and Regulatory Considerations</w:t>
      </w:r>
      <w:bookmarkEnd w:id="56"/>
    </w:p>
    <w:p w14:paraId="1A18DD87" w14:textId="6BE44429" w:rsidR="009168CA" w:rsidRPr="00273BD4" w:rsidRDefault="009168CA" w:rsidP="0038180F">
      <w:pPr>
        <w:pStyle w:val="Kop2"/>
        <w:rPr>
          <w:rFonts w:cs="Calibri"/>
        </w:rPr>
      </w:pPr>
      <w:bookmarkStart w:id="57" w:name="_Toc229929357"/>
      <w:r w:rsidRPr="00273BD4">
        <w:rPr>
          <w:rFonts w:cs="Calibri"/>
        </w:rPr>
        <w:t>9.1. Ethics Committee (EC) review &amp; reports</w:t>
      </w:r>
      <w:bookmarkEnd w:id="57"/>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8" w:name="_Toc229929358"/>
      <w:r w:rsidRPr="00273BD4">
        <w:rPr>
          <w:rFonts w:cs="Calibri"/>
        </w:rPr>
        <w:t>9.2. Protocol/GCP compliance</w:t>
      </w:r>
      <w:bookmarkEnd w:id="58"/>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9" w:name="_Toc229929359"/>
      <w:r w:rsidRPr="001A7EEE">
        <w:rPr>
          <w:rFonts w:cs="Calibri"/>
        </w:rPr>
        <w:t>9.3. Data protection and participant confidentiality</w:t>
      </w:r>
      <w:bookmarkEnd w:id="59"/>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60" w:name="_Toc229929360"/>
      <w:r w:rsidRPr="001A7EEE">
        <w:rPr>
          <w:rFonts w:cs="Calibri"/>
        </w:rPr>
        <w:t>10. Research Registration, Dissemination of Results and Publication Policy</w:t>
      </w:r>
      <w:bookmarkEnd w:id="60"/>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1" w:name="_Toc229929361"/>
      <w:r w:rsidRPr="00273BD4">
        <w:rPr>
          <w:rFonts w:eastAsia="Times New Roman" w:cs="Calibri"/>
        </w:rPr>
        <w:t>11. Insurance/Indemnity</w:t>
      </w:r>
      <w:bookmarkEnd w:id="61"/>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62" w:name="_Toc229929362"/>
      <w:r w:rsidRPr="00273BD4">
        <w:rPr>
          <w:rFonts w:eastAsia="Times New Roman"/>
        </w:rPr>
        <w:t>12. References</w:t>
      </w:r>
      <w:bookmarkEnd w:id="62"/>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lastRenderedPageBreak/>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lastRenderedPageBreak/>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lastRenderedPageBreak/>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p>
      <w:pPr/>
      <w:r>
        <w:t>Staniszewska A, Jones A, Davies L, et al. Development of a core descriptor set for studies assessing interventions for diabetes-related foot ulceration. Diabetologia. 2026. doi:10.1007/s00125-026-06815-1</w:t>
      </w:r>
    </w:p>
    <w:p w14:paraId="54EEF9DD" w14:textId="0094EA9B" w:rsidR="0038180F" w:rsidRPr="00273BD4" w:rsidRDefault="0038180F">
      <w:pPr>
        <w:rPr>
          <w:rFonts w:ascii="Calibri" w:eastAsia="Times New Roman" w:hAnsi="Calibri" w:cs="Calibri"/>
          <w:kern w:val="0"/>
          <w14:ligatures w14:val="none"/>
        </w:rPr>
      </w:pPr>
      <w:r>
        <w:t>Staniszewska A, Game F, Nixon J, et al. Development of a core outcome set for studies assessing interventions for diabetes-related foot ulceration. Diabetes Care. 2024;47(11):1958–1968. doi:10.2337/dc24-1112</w:t>
      </w: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35"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80395" w14:textId="77777777" w:rsidR="002A7AAB" w:rsidRDefault="002A7AAB" w:rsidP="009D7BE7">
      <w:pPr>
        <w:spacing w:after="0" w:line="240" w:lineRule="auto"/>
      </w:pPr>
      <w:r>
        <w:separator/>
      </w:r>
    </w:p>
  </w:endnote>
  <w:endnote w:type="continuationSeparator" w:id="0">
    <w:p w14:paraId="785A9D07" w14:textId="77777777" w:rsidR="002A7AAB" w:rsidRDefault="002A7AAB"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ED0C" w14:textId="77777777" w:rsidR="002A7AAB" w:rsidRDefault="002A7AAB" w:rsidP="009D7BE7">
      <w:pPr>
        <w:spacing w:after="0" w:line="240" w:lineRule="auto"/>
      </w:pPr>
      <w:r>
        <w:separator/>
      </w:r>
    </w:p>
  </w:footnote>
  <w:footnote w:type="continuationSeparator" w:id="0">
    <w:p w14:paraId="6AE1B817" w14:textId="77777777" w:rsidR="002A7AAB" w:rsidRDefault="002A7AAB"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AAB"/>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000000"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18859</Words>
  <Characters>103728</Characters>
  <Application>Microsoft Office Word</Application>
  <DocSecurity>0</DocSecurity>
  <Lines>864</Lines>
  <Paragraphs>244</Paragraphs>
  <ScaleCrop>false</ScaleCrop>
  <Company/>
  <LinksUpToDate>false</LinksUpToDate>
  <CharactersWithSpaces>122343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81</cp:revision>
  <dcterms:created xsi:type="dcterms:W3CDTF">2026-04-01T07:04:00Z</dcterms:created>
  <dcterms:modified xsi:type="dcterms:W3CDTF">2026-08-03T13:06:00Z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