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sz w:val="28"/>
        </w:rPr>
        <w:t>Novel pedar — in-shoe drukmeting</w:t>
      </w:r>
    </w:p>
    <w:p>
      <w:pPr>
        <w:keepNext/>
        <w:spacing w:before="120" w:after="80"/>
      </w:pPr>
      <w:r>
        <w:rPr>
          <w:b/>
          <w:sz w:val="24"/>
        </w:rPr>
        <w:t>Studie-informatie</w:t>
      </w:r>
    </w:p>
    <w:p>
      <w:r>
        <w:rPr>
          <w:b w:val="0"/>
          <w:i w:val="0"/>
          <w:sz w:val="20"/>
        </w:rPr>
        <w:t>Studie titel: Towards Pressure-Adherence &amp; Education Driven Service in Diabetic Foot Disease (PARADISE)</w:t>
      </w:r>
    </w:p>
    <w:p>
      <w:r>
        <w:rPr>
          <w:b w:val="0"/>
          <w:i w:val="0"/>
          <w:sz w:val="20"/>
        </w:rPr>
        <w:t>Protocolnummer: S71769</w:t>
      </w:r>
    </w:p>
    <w:p>
      <w:r>
        <w:rPr>
          <w:b w:val="0"/>
          <w:i w:val="0"/>
          <w:sz w:val="20"/>
        </w:rPr>
        <w:t>Studielocatie:</w:t>
      </w:r>
    </w:p>
    <w:p>
      <w:r>
        <w:rPr>
          <w:b w:val="0"/>
          <w:i w:val="0"/>
          <w:sz w:val="20"/>
        </w:rPr>
        <w:t>Hoofdonderzoeker (PI):</w:t>
      </w:r>
    </w:p>
    <w:p>
      <w:r>
        <w:rPr>
          <w:b w:val="0"/>
          <w:i w:val="0"/>
          <w:sz w:val="20"/>
        </w:rPr>
        <w:t>Deelnemerscode:</w:t>
      </w:r>
    </w:p>
    <w:p>
      <w:r>
        <w:rPr>
          <w:b w:val="0"/>
          <w:i w:val="0"/>
          <w:sz w:val="20"/>
        </w:rPr>
        <w:t>Visite:                                    Datum:</w:t>
      </w:r>
    </w:p>
    <w:p>
      <w:r>
        <w:rPr>
          <w:b w:val="0"/>
          <w:i w:val="0"/>
          <w:sz w:val="20"/>
        </w:rPr>
      </w:r>
    </w:p>
    <w:p>
      <w:r>
        <w:rPr>
          <w:b w:val="0"/>
          <w:i/>
          <w:sz w:val="20"/>
        </w:rPr>
        <w:t>Hoort bij eCRF 09 (drukmeting baseline) en eCRF 24 (drukherverdeling voetorthese). Software: novel studio v1.20.0.340.</w:t>
      </w:r>
    </w:p>
    <w:p>
      <w:pPr>
        <w:keepNext/>
        <w:spacing w:before="200" w:after="80"/>
      </w:pPr>
      <w:r>
        <w:rPr>
          <w:b/>
          <w:sz w:val="24"/>
        </w:rPr>
        <w:t>1. De opstelling</w:t>
      </w:r>
    </w:p>
    <w:p>
      <w:pPr>
        <w:keepNext/>
        <w:spacing w:before="160"/>
      </w:pPr>
      <w:r>
        <w:rPr>
          <w:b/>
          <w:sz w:val="18"/>
        </w:rPr>
        <w:t>Figure 1: De router naast het looppad van tien meter</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studio op de laptop.</w:t>
      </w:r>
    </w:p>
    <w:p>
      <w:pPr>
        <w:keepNext/>
        <w:spacing w:before="200" w:after="80"/>
      </w:pPr>
      <w:r>
        <w:rPr>
          <w:b/>
          <w:sz w:val="24"/>
        </w:rPr>
        <w:t>2. De kleurenschaal instellen — eenmalig per laptop</w:t>
      </w:r>
    </w:p>
    <w:p>
      <w:r>
        <w:rPr>
          <w:b w:val="0"/>
          <w:i/>
          <w:sz w:val="20"/>
        </w:rPr>
        <w:t>Doe dit één keer per laptop, vóór de eerste deelnemer. Staat het palet al goed, ga dan door naar hoofdstuk 3.</w:t>
      </w:r>
    </w:p>
    <w:p>
      <w:r>
        <w:rPr>
          <w:b/>
          <w:i w:val="0"/>
          <w:sz w:val="20"/>
        </w:rPr>
        <w:t>Zolang de zool niet in regio’s verdeeld kan worden, doet het palet dat werk: het maakt met kleur zichtbaar waar de druk boven de norm uitkomt. Daarom staat het hoogste niveau op 200 kPa. Zonder deze instelling kun je stap 36 niet uitvoeren.</w:t>
      </w:r>
    </w:p>
    <w:p>
      <w:pPr>
        <w:keepNext/>
        <w:spacing w:before="160"/>
      </w:pPr>
      <w:r>
        <w:rPr>
          <w:b/>
          <w:sz w:val="18"/>
        </w:rPr>
        <w:t>Figure 2: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2" name="Picture 2"/>
            <wp:cNvGraphicFramePr>
              <a:graphicFrameLocks noChangeAspect="1"/>
            </wp:cNvGraphicFramePr>
            <a:graphic>
              <a:graphicData uri="http://schemas.openxmlformats.org/drawingml/2006/picture">
                <pic:pic>
                  <pic:nvPicPr>
                    <pic:cNvPr id="0" name="Schermafbeelding 2026-09-10 100038.png"/>
                    <pic:cNvPicPr/>
                  </pic:nvPicPr>
                  <pic:blipFill>
                    <a:blip r:embed="rId11"/>
                    <a:stretch>
                      <a:fillRect/>
                    </a:stretch>
                  </pic:blipFill>
                  <pic:spPr>
                    <a:xfrm>
                      <a:off x="0" y="0"/>
                      <a:ext cx="5760000" cy="3204795"/>
                    </a:xfrm>
                    <a:prstGeom prst="rect"/>
                  </pic:spPr>
                </pic:pic>
              </a:graphicData>
            </a:graphic>
          </wp:inline>
        </w:drawing>
      </w:r>
    </w:p>
    <w:p>
      <w:pPr>
        <w:ind w:left="397" w:hanging="397"/>
      </w:pPr>
      <w:r>
        <w:rPr>
          <w:b/>
        </w:rPr>
        <w:t xml:space="preserve">4.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0"/>
        </w:rPr>
        <w:t>Het niveau van 220 kPa uit de standaardinstelling gaat er dus uit. Zo is er maar één topkleur, en betekent die kleur precies één ding: hier ligt de druk op of boven de norm. Met twee niveaus boven de 200 moet je kleuren onderling gaan vergelijken, en dat is net wat je niet wil bij een visuele beoordeling.</w:t>
      </w:r>
    </w:p>
    <w:p>
      <w:pPr>
        <w:ind w:left="397" w:hanging="397"/>
      </w:pPr>
      <w:r>
        <w:rPr>
          <w:b/>
        </w:rPr>
        <w:t xml:space="preserve">5. </w:t>
      </w:r>
      <w:r>
        <w:t>Bewaar de instelling met ‘Save custom set’ en gebruik ‘Load custom set’ om hem op elke laptop te laden. Alle zes de centra werken met hetzelfde bestand.</w:t>
      </w:r>
    </w:p>
    <w:p>
      <w:r>
        <w:rPr>
          <w:b/>
          <w:i w:val="0"/>
          <w:sz w:val="20"/>
        </w:rPr>
        <w:t>Wijzig het palet niet tussen deelnemers of tussen visites. Doe je dat wel, dan zijn de schermafbeeldingen in de eCRF-Excel onderling niet meer vergelijkbaar en is de visuele beoordeling waardeloos.</w:t>
      </w:r>
    </w:p>
    <w:p>
      <w:pPr>
        <w:keepNext/>
        <w:spacing w:before="200" w:after="80"/>
      </w:pPr>
      <w:r>
        <w:rPr>
          <w:b/>
          <w:sz w:val="24"/>
        </w:rPr>
        <w:t>3. De juiste zool kiezen — dit is de belangrijkste stap</w:t>
      </w:r>
    </w:p>
    <w:p>
      <w:r>
        <w:rPr>
          <w:b/>
          <w:i w:val="0"/>
          <w:sz w:val="20"/>
        </w:rPr>
        <w:t>Elke zool heeft een eigen maat én een eigen kalibratie. Kies je de verkeerde zool of het verkeerde configuratiebestand, dan meet de software gewoon door en geeft ze verkeerde drukwaarden zonder te waarschuwen. Er is geen controle die dat achteraf vangt.</w:t>
      </w:r>
    </w:p>
    <w:p>
      <w:pPr>
        <w:keepNext/>
        <w:spacing w:before="160"/>
      </w:pPr>
      <w:r>
        <w:rPr>
          <w:b/>
          <w:sz w:val="18"/>
        </w:rPr>
        <w:t>Figure 3: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3" name="Picture 3"/>
            <wp:cNvGraphicFramePr>
              <a:graphicFrameLocks noChangeAspect="1"/>
            </wp:cNvGraphicFramePr>
            <a:graphic>
              <a:graphicData uri="http://schemas.openxmlformats.org/drawingml/2006/picture">
                <pic:pic>
                  <pic:nvPicPr>
                    <pic:cNvPr id="0" name="20260910_101052.jpg"/>
                    <pic:cNvPicPr/>
                  </pic:nvPicPr>
                  <pic:blipFill>
                    <a:blip r:embed="rId12"/>
                    <a:stretch>
                      <a:fillRect/>
                    </a:stretch>
                  </pic:blipFill>
                  <pic:spPr>
                    <a:xfrm>
                      <a:off x="0" y="0"/>
                      <a:ext cx="2880000" cy="2160000"/>
                    </a:xfrm>
                    <a:prstGeom prst="rect"/>
                  </pic:spPr>
                </pic:pic>
              </a:graphicData>
            </a:graphic>
          </wp:inline>
        </w:drawing>
      </w:r>
    </w:p>
    <w:p>
      <w:pPr>
        <w:ind w:left="340"/>
      </w:pPr>
      <w:r>
        <w:rPr>
          <w:b w:val="0"/>
          <w:i w:val="0"/>
          <w:sz w:val="20"/>
        </w:rPr>
        <w:t>Het label leest van links naar rechts: de maat (XW), het volgnummer van deze zool (830) en de kant (R). Dat is precies de code die in de naam van het configuratiebestand terugkomt: plidar-G026R_xw830R.</w:t>
      </w:r>
    </w:p>
    <w:p>
      <w:r>
        <w:rPr>
          <w:b w:val="0"/>
          <w:i w:val="0"/>
          <w:sz w:val="20"/>
        </w:rPr>
      </w:r>
    </w:p>
    <w:p>
      <w:r>
        <w:rPr>
          <w:b/>
          <w:i w:val="0"/>
          <w:sz w:val="20"/>
        </w:rPr>
        <w:t>De studie heeft vijf maten in huis, allemaal wide (W):</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1247"/>
          </w:tcPr>
          <w:p>
            <w:r/>
            <w:r>
              <w:rPr>
                <w:b/>
                <w:sz w:val="18"/>
              </w:rPr>
              <w:t>Maat</w:t>
            </w:r>
          </w:p>
        </w:tc>
        <w:tc>
          <w:tcPr>
            <w:tcW w:type="dxa" w:w="1928"/>
          </w:tcPr>
          <w:p>
            <w:r/>
            <w:r>
              <w:rPr>
                <w:b/>
                <w:sz w:val="18"/>
              </w:rPr>
              <w:t>EU-schoenmaat</w:t>
            </w:r>
          </w:p>
        </w:tc>
        <w:tc>
          <w:tcPr>
            <w:tcW w:type="dxa" w:w="2268"/>
          </w:tcPr>
          <w:p>
            <w:r/>
            <w:r>
              <w:rPr>
                <w:b/>
                <w:sz w:val="18"/>
              </w:rPr>
              <w:t>Zool links</w:t>
            </w:r>
          </w:p>
        </w:tc>
        <w:tc>
          <w:tcPr>
            <w:tcW w:type="dxa" w:w="2268"/>
          </w:tcPr>
          <w:p>
            <w:r/>
            <w:r>
              <w:rPr>
                <w:b/>
                <w:sz w:val="18"/>
              </w:rPr>
              <w:t>Zool rechts</w:t>
            </w:r>
          </w:p>
        </w:tc>
      </w:tr>
      <w:tr>
        <w:tc>
          <w:tcPr>
            <w:tcW w:type="dxa" w:w="1247"/>
          </w:tcPr>
          <w:p>
            <w:r/>
            <w:r>
              <w:rPr>
                <w:sz w:val="18"/>
              </w:rPr>
              <w:t>UW</w:t>
            </w:r>
          </w:p>
        </w:tc>
        <w:tc>
          <w:tcPr>
            <w:tcW w:type="dxa" w:w="1928"/>
          </w:tcPr>
          <w:p>
            <w:r/>
            <w:r>
              <w:rPr>
                <w:sz w:val="18"/>
              </w:rPr>
              <w:t>36/37</w:t>
            </w:r>
          </w:p>
        </w:tc>
        <w:tc>
          <w:tcPr>
            <w:tcW w:type="dxa" w:w="2268"/>
          </w:tcPr>
          <w:p>
            <w:r/>
            <w:r>
              <w:rPr>
                <w:sz w:val="18"/>
              </w:rPr>
              <w:t>UW.389L</w:t>
            </w:r>
          </w:p>
        </w:tc>
        <w:tc>
          <w:tcPr>
            <w:tcW w:type="dxa" w:w="2268"/>
          </w:tcPr>
          <w:p>
            <w:r/>
            <w:r>
              <w:rPr>
                <w:sz w:val="18"/>
              </w:rPr>
              <w:t>UW.384R</w:t>
            </w:r>
          </w:p>
        </w:tc>
      </w:tr>
      <w:tr>
        <w:tc>
          <w:tcPr>
            <w:tcW w:type="dxa" w:w="1247"/>
          </w:tcPr>
          <w:p>
            <w:r/>
            <w:r>
              <w:rPr>
                <w:sz w:val="18"/>
              </w:rPr>
              <w:t>VW</w:t>
            </w:r>
          </w:p>
        </w:tc>
        <w:tc>
          <w:tcPr>
            <w:tcW w:type="dxa" w:w="1928"/>
          </w:tcPr>
          <w:p>
            <w:r/>
            <w:r>
              <w:rPr>
                <w:sz w:val="18"/>
              </w:rPr>
              <w:t>38/39</w:t>
            </w:r>
          </w:p>
        </w:tc>
        <w:tc>
          <w:tcPr>
            <w:tcW w:type="dxa" w:w="2268"/>
          </w:tcPr>
          <w:p>
            <w:r/>
            <w:r>
              <w:rPr>
                <w:sz w:val="18"/>
              </w:rPr>
              <w:t>VW.607L</w:t>
            </w:r>
          </w:p>
        </w:tc>
        <w:tc>
          <w:tcPr>
            <w:tcW w:type="dxa" w:w="2268"/>
          </w:tcPr>
          <w:p>
            <w:r/>
            <w:r>
              <w:rPr>
                <w:sz w:val="18"/>
              </w:rPr>
              <w:t>VW.606R</w:t>
            </w:r>
          </w:p>
        </w:tc>
      </w:tr>
      <w:tr>
        <w:tc>
          <w:tcPr>
            <w:tcW w:type="dxa" w:w="1247"/>
          </w:tcPr>
          <w:p>
            <w:r/>
            <w:r>
              <w:rPr>
                <w:sz w:val="18"/>
              </w:rPr>
              <w:t>WW</w:t>
            </w:r>
          </w:p>
        </w:tc>
        <w:tc>
          <w:tcPr>
            <w:tcW w:type="dxa" w:w="1928"/>
          </w:tcPr>
          <w:p>
            <w:r/>
            <w:r>
              <w:rPr>
                <w:sz w:val="18"/>
              </w:rPr>
              <w:t>40/41</w:t>
            </w:r>
          </w:p>
        </w:tc>
        <w:tc>
          <w:tcPr>
            <w:tcW w:type="dxa" w:w="2268"/>
          </w:tcPr>
          <w:p>
            <w:r/>
            <w:r>
              <w:rPr>
                <w:sz w:val="18"/>
              </w:rPr>
              <w:t>WW.727L</w:t>
            </w:r>
          </w:p>
        </w:tc>
        <w:tc>
          <w:tcPr>
            <w:tcW w:type="dxa" w:w="2268"/>
          </w:tcPr>
          <w:p>
            <w:r/>
            <w:r>
              <w:rPr>
                <w:sz w:val="18"/>
              </w:rPr>
              <w:t>WW.728R</w:t>
            </w:r>
          </w:p>
        </w:tc>
      </w:tr>
      <w:tr>
        <w:tc>
          <w:tcPr>
            <w:tcW w:type="dxa" w:w="1247"/>
          </w:tcPr>
          <w:p>
            <w:r/>
            <w:r>
              <w:rPr>
                <w:sz w:val="18"/>
              </w:rPr>
              <w:t>XW</w:t>
            </w:r>
          </w:p>
        </w:tc>
        <w:tc>
          <w:tcPr>
            <w:tcW w:type="dxa" w:w="1928"/>
          </w:tcPr>
          <w:p>
            <w:r/>
            <w:r>
              <w:rPr>
                <w:sz w:val="18"/>
              </w:rPr>
              <w:t>42/43</w:t>
            </w:r>
          </w:p>
        </w:tc>
        <w:tc>
          <w:tcPr>
            <w:tcW w:type="dxa" w:w="2268"/>
          </w:tcPr>
          <w:p>
            <w:r/>
            <w:r>
              <w:rPr>
                <w:sz w:val="18"/>
              </w:rPr>
              <w:t>XW.831L</w:t>
            </w:r>
          </w:p>
        </w:tc>
        <w:tc>
          <w:tcPr>
            <w:tcW w:type="dxa" w:w="2268"/>
          </w:tcPr>
          <w:p>
            <w:r/>
            <w:r>
              <w:rPr>
                <w:sz w:val="18"/>
              </w:rPr>
              <w:t>XW.830R</w:t>
            </w:r>
          </w:p>
        </w:tc>
      </w:tr>
      <w:tr>
        <w:tc>
          <w:tcPr>
            <w:tcW w:type="dxa" w:w="1247"/>
          </w:tcPr>
          <w:p>
            <w:r/>
            <w:r>
              <w:rPr>
                <w:sz w:val="18"/>
              </w:rPr>
              <w:t>YW</w:t>
            </w:r>
          </w:p>
        </w:tc>
        <w:tc>
          <w:tcPr>
            <w:tcW w:type="dxa" w:w="1928"/>
          </w:tcPr>
          <w:p>
            <w:r/>
            <w:r>
              <w:rPr>
                <w:sz w:val="18"/>
              </w:rPr>
              <w:t>44/45</w:t>
            </w:r>
          </w:p>
        </w:tc>
        <w:tc>
          <w:tcPr>
            <w:tcW w:type="dxa" w:w="2268"/>
          </w:tcPr>
          <w:p>
            <w:r/>
            <w:r>
              <w:rPr>
                <w:sz w:val="18"/>
              </w:rPr>
              <w:t>YW.709L</w:t>
            </w:r>
          </w:p>
        </w:tc>
        <w:tc>
          <w:tcPr>
            <w:tcW w:type="dxa" w:w="2268"/>
          </w:tcPr>
          <w:p>
            <w:r/>
            <w:r>
              <w:rPr>
                <w:sz w:val="18"/>
              </w:rPr>
              <w:t>YW.712R</w:t>
            </w:r>
          </w:p>
        </w:tc>
      </w:tr>
    </w:tbl>
    <w:p/>
    <w:p>
      <w:r>
        <w:rPr>
          <w:b w:val="0"/>
          <w:i/>
          <w:sz w:val="20"/>
        </w:rPr>
        <w:t>De EU-maten komen uit de pedar® Insole Catalogue van novel gmbh. Elke maat dekt twee schoenmaten.</w:t>
      </w:r>
    </w:p>
    <w:p>
      <w:r>
        <w:rPr>
          <w:b/>
          <w:i w:val="0"/>
          <w:sz w:val="20"/>
        </w:rPr>
        <w:t>Schoenmaat 46 en groter wordt gemeten met YW, de grootste maat die er is. De zool in de schoen vangt het maatverschil in de praktijk op. Schoenmaat is dus geen reden om een deelnemer niet te meten.</w:t>
      </w:r>
    </w:p>
    <w:p>
      <w:r>
        <w:rPr>
          <w:b w:val="0"/>
          <w:i w:val="0"/>
          <w:sz w:val="20"/>
        </w:rPr>
      </w:r>
    </w:p>
    <w:p>
      <w:pPr>
        <w:ind w:left="397" w:hanging="397"/>
      </w:pPr>
      <w:r>
        <w:rPr>
          <w:b/>
        </w:rPr>
        <w:t xml:space="preserve">6. </w:t>
      </w:r>
      <w:r>
        <w:t>Vraag de schoenmaat van de deelnemer en kies de zool uit de tabel hierboven.</w:t>
      </w:r>
    </w:p>
    <w:p>
      <w:pPr>
        <w:ind w:left="397" w:hanging="397"/>
      </w:pPr>
      <w:r>
        <w:rPr>
          <w:b/>
        </w:rPr>
        <w:t xml:space="preserve">7. </w:t>
      </w:r>
      <w:r>
        <w:t>Lees het label op de zool en noteer de volledige code, bijvoorbeeld XW.830R, op het formulier. Je hebt ze straks nodig om het configuratiebestand te kiezen.</w:t>
      </w:r>
    </w:p>
    <w:p>
      <w:pPr>
        <w:ind w:left="397" w:hanging="397"/>
      </w:pPr>
      <w:r>
        <w:rPr>
          <w:b/>
        </w:rPr>
        <w:t xml:space="preserve">8. </w:t>
      </w:r>
      <w:r>
        <w:t>Controleer dat je een linker- en een rechterzool van dezelfde maat neemt.</w:t>
      </w:r>
    </w:p>
    <w:p>
      <w:pPr>
        <w:keepNext/>
        <w:spacing w:before="200" w:after="80"/>
      </w:pPr>
      <w:r>
        <w:rPr>
          <w:b/>
          <w:sz w:val="24"/>
        </w:rPr>
        <w:t>4. Aansluiten en aanzetten</w:t>
      </w:r>
    </w:p>
    <w:p>
      <w:pPr>
        <w:keepNext/>
        <w:spacing w:before="160"/>
      </w:pPr>
      <w:r>
        <w:rPr>
          <w:b/>
          <w:sz w:val="18"/>
        </w:rPr>
        <w:t>Figure 4: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4" name="Picture 4"/>
            <wp:cNvGraphicFramePr>
              <a:graphicFrameLocks noChangeAspect="1"/>
            </wp:cNvGraphicFramePr>
            <a:graphic>
              <a:graphicData uri="http://schemas.openxmlformats.org/drawingml/2006/picture">
                <pic:pic>
                  <pic:nvPicPr>
                    <pic:cNvPr id="0" name="20260910_101023.jpg"/>
                    <pic:cNvPicPr/>
                  </pic:nvPicPr>
                  <pic:blipFill>
                    <a:blip r:embed="rId13"/>
                    <a:stretch>
                      <a:fillRect/>
                    </a:stretch>
                  </pic:blipFill>
                  <pic:spPr>
                    <a:xfrm>
                      <a:off x="0" y="0"/>
                      <a:ext cx="2880000" cy="2158276"/>
                    </a:xfrm>
                    <a:prstGeom prst="rect"/>
                  </pic:spPr>
                </pic:pic>
              </a:graphicData>
            </a:graphic>
          </wp:inline>
        </w:drawing>
      </w:r>
    </w:p>
    <w:p>
      <w:pPr>
        <w:ind w:left="397" w:hanging="397"/>
      </w:pPr>
      <w:r>
        <w:rPr>
          <w:b/>
        </w:rPr>
        <w:t xml:space="preserve">9. </w:t>
      </w:r>
      <w:r>
        <w:t>Sluit de linkerzool aan op de zender met L in de naam, en de rechterzool op die met R. De letter op de connector en op de zender moeten overeenkomen.</w:t>
      </w:r>
    </w:p>
    <w:p>
      <w:pPr>
        <w:ind w:left="397" w:hanging="397"/>
      </w:pPr>
      <w:r>
        <w:rPr>
          <w:b/>
        </w:rPr>
        <w:t xml:space="preserve">10. </w:t>
      </w:r>
      <w:r>
        <w:t>Zet beide zenders aan met de knop bovenaan.</w:t>
      </w:r>
    </w:p>
    <w:p>
      <w:pPr>
        <w:ind w:left="340"/>
      </w:pPr>
      <w:r>
        <w:rPr>
          <w:b/>
          <w:i w:val="0"/>
          <w:sz w:val="20"/>
        </w:rPr>
        <w:t>De zolen blijven voorlopig op tafel liggen. Ze gaan pas in de schoen na het nulstellen, in stap 23.</w:t>
      </w:r>
    </w:p>
    <w:p>
      <w:pPr>
        <w:keepNext/>
        <w:spacing w:before="200" w:after="80"/>
      </w:pPr>
      <w:r>
        <w:rPr>
          <w:b/>
          <w:sz w:val="24"/>
        </w:rPr>
        <w:t>5. Toestellen verbinden</w:t>
      </w:r>
    </w:p>
    <w:p>
      <w:pPr>
        <w:keepNext/>
        <w:spacing w:before="160"/>
      </w:pPr>
      <w:r>
        <w:rPr>
          <w:b/>
          <w:sz w:val="18"/>
        </w:rPr>
        <w:t>Figure 5: Manage Devices — toestellen nog niet verbonden</w:t>
      </w:r>
    </w:p>
    <w:p>
      <w:pPr>
        <w:spacing w:after="160"/>
        <w:jc w:val="center"/>
      </w:pPr>
      <w:r>
        <w:drawing>
          <wp:inline xmlns:a="http://schemas.openxmlformats.org/drawingml/2006/main" xmlns:pic="http://schemas.openxmlformats.org/drawingml/2006/picture">
            <wp:extent cx="5760000" cy="3430340"/>
            <wp:docPr id="5" name="Picture 5"/>
            <wp:cNvGraphicFramePr>
              <a:graphicFrameLocks noChangeAspect="1"/>
            </wp:cNvGraphicFramePr>
            <a:graphic>
              <a:graphicData uri="http://schemas.openxmlformats.org/drawingml/2006/picture">
                <pic:pic>
                  <pic:nvPicPr>
                    <pic:cNvPr id="0" name="Schermafbeelding 2026-09-10 100244.png"/>
                    <pic:cNvPicPr/>
                  </pic:nvPicPr>
                  <pic:blipFill>
                    <a:blip r:embed="rId14"/>
                    <a:stretch>
                      <a:fillRect/>
                    </a:stretch>
                  </pic:blipFill>
                  <pic:spPr>
                    <a:xfrm>
                      <a:off x="0" y="0"/>
                      <a:ext cx="5760000" cy="3430340"/>
                    </a:xfrm>
                    <a:prstGeom prst="rect"/>
                  </pic:spPr>
                </pic:pic>
              </a:graphicData>
            </a:graphic>
          </wp:inline>
        </w:drawing>
      </w:r>
    </w:p>
    <w:p>
      <w:pPr>
        <w:ind w:left="397" w:hanging="397"/>
      </w:pPr>
      <w:r>
        <w:rPr>
          <w:b/>
        </w:rPr>
        <w:t xml:space="preserve">11. </w:t>
      </w:r>
      <w:r>
        <w:t>Ga naar ‘Manage Devices’ en klik op ‘Scan Wi-Fi’ bij ‘pedar &amp; pliance’.</w:t>
      </w:r>
    </w:p>
    <w:p>
      <w:pPr>
        <w:ind w:left="397" w:hanging="397"/>
      </w:pPr>
      <w:r>
        <w:rPr>
          <w:b/>
        </w:rPr>
        <w:t xml:space="preserve">12. </w:t>
      </w:r>
      <w:r>
        <w:t>Er verschijnen twee toestellen. Staat er ‘Device lost’, klik dan op ‘Connect’ onder elk toestel.</w:t>
      </w:r>
    </w:p>
    <w:p>
      <w:pPr>
        <w:ind w:left="340"/>
      </w:pPr>
      <w:r>
        <w:rPr>
          <w:b w:val="0"/>
          <w:i/>
          <w:sz w:val="20"/>
        </w:rPr>
        <w:t>In de opstelling in Brugge krijgt links 192.168.123.101 en rechts 192.168.123.100. Die adressen deelt de router uit en ze kunnen elders anders zijn — ga af op de naam van het toestel, niet op het IP.</w:t>
      </w:r>
    </w:p>
    <w:p>
      <w:pPr>
        <w:keepNext/>
        <w:spacing w:before="160"/>
      </w:pPr>
      <w:r>
        <w:rPr>
          <w:b/>
          <w:sz w:val="18"/>
        </w:rPr>
        <w:t>Figure 6: Manage Devices — beide toestellen verbonden en klaar</w:t>
      </w:r>
    </w:p>
    <w:p>
      <w:pPr>
        <w:spacing w:after="160"/>
        <w:jc w:val="center"/>
      </w:pPr>
      <w:r>
        <w:drawing>
          <wp:inline xmlns:a="http://schemas.openxmlformats.org/drawingml/2006/main" xmlns:pic="http://schemas.openxmlformats.org/drawingml/2006/picture">
            <wp:extent cx="5760000" cy="3432591"/>
            <wp:docPr id="6" name="Picture 6"/>
            <wp:cNvGraphicFramePr>
              <a:graphicFrameLocks noChangeAspect="1"/>
            </wp:cNvGraphicFramePr>
            <a:graphic>
              <a:graphicData uri="http://schemas.openxmlformats.org/drawingml/2006/picture">
                <pic:pic>
                  <pic:nvPicPr>
                    <pic:cNvPr id="0" name="Schermafbeelding 2026-09-10 101213.png"/>
                    <pic:cNvPicPr/>
                  </pic:nvPicPr>
                  <pic:blipFill>
                    <a:blip r:embed="rId15"/>
                    <a:stretch>
                      <a:fillRect/>
                    </a:stretch>
                  </pic:blipFill>
                  <pic:spPr>
                    <a:xfrm>
                      <a:off x="0" y="0"/>
                      <a:ext cx="5760000" cy="3432591"/>
                    </a:xfrm>
                    <a:prstGeom prst="rect"/>
                  </pic:spPr>
                </pic:pic>
              </a:graphicData>
            </a:graphic>
          </wp:inline>
        </w:drawing>
      </w:r>
    </w:p>
    <w:p>
      <w:pPr>
        <w:ind w:left="397" w:hanging="397"/>
      </w:pPr>
      <w:r>
        <w:rPr>
          <w:b/>
        </w:rPr>
        <w:t xml:space="preserve">13. </w:t>
      </w:r>
      <w:r>
        <w:t>Controleer per toestel dat de balk op ‘Ready’ staat, en noteer op het formulier:</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w:t>
      </w:r>
    </w:p>
    <w:p>
      <w:pPr>
        <w:ind w:left="340"/>
      </w:pPr>
      <w:r>
        <w:rPr>
          <w:b w:val="0"/>
          <w:i/>
          <w:sz w:val="20"/>
        </w:rPr>
        <w:t>Pas als een toestel verbonden is, verschijnt het in de balk onderaan het scherm, met zijn naam en batterijpercentage. Staan ze daar allebei, dan is de verbinding in orde.</w:t>
      </w:r>
    </w:p>
    <w:p>
      <w:pPr>
        <w:keepNext/>
        <w:spacing w:before="200" w:after="80"/>
      </w:pPr>
      <w:r>
        <w:rPr>
          <w:b/>
          <w:sz w:val="24"/>
        </w:rPr>
        <w:t>6. Het configuratiebestand koppelen</w:t>
      </w:r>
    </w:p>
    <w:p>
      <w:pPr>
        <w:keepNext/>
        <w:spacing w:before="160"/>
      </w:pPr>
      <w:r>
        <w:rPr>
          <w:b/>
          <w:sz w:val="18"/>
        </w:rPr>
        <w:t>Figure 7: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7" name="Picture 7"/>
            <wp:cNvGraphicFramePr>
              <a:graphicFrameLocks noChangeAspect="1"/>
            </wp:cNvGraphicFramePr>
            <a:graphic>
              <a:graphicData uri="http://schemas.openxmlformats.org/drawingml/2006/picture">
                <pic:pic>
                  <pic:nvPicPr>
                    <pic:cNvPr id="0" name="Schermafbeelding 2026-09-10 101240.png"/>
                    <pic:cNvPicPr/>
                  </pic:nvPicPr>
                  <pic:blipFill>
                    <a:blip r:embed="rId16"/>
                    <a:stretch>
                      <a:fillRect/>
                    </a:stretch>
                  </pic:blipFill>
                  <pic:spPr>
                    <a:xfrm>
                      <a:off x="0" y="0"/>
                      <a:ext cx="5760000" cy="3443845"/>
                    </a:xfrm>
                    <a:prstGeom prst="rect"/>
                  </pic:spPr>
                </pic:pic>
              </a:graphicData>
            </a:graphic>
          </wp:inline>
        </w:drawing>
      </w:r>
    </w:p>
    <w:p>
      <w:pPr>
        <w:ind w:left="397" w:hanging="397"/>
      </w:pPr>
      <w:r>
        <w:rPr>
          <w:b/>
        </w:rPr>
        <w:t xml:space="preserve">14. </w:t>
      </w:r>
      <w:r>
        <w:t>Klik bij het linkertoestel op ‘Select config file’.</w:t>
      </w:r>
    </w:p>
    <w:p>
      <w:pPr>
        <w:ind w:left="397" w:hanging="397"/>
      </w:pPr>
      <w:r>
        <w:rPr>
          <w:b/>
        </w:rPr>
        <w:t xml:space="preserve">15. </w:t>
      </w:r>
      <w:r>
        <w:t>Kies het bestand waarvan de code overeenkomt met het label dat je in stap 7 hebt genoteerd. Voor zool XW.831L is dat plidar-G009L_xw831L.</w:t>
      </w:r>
    </w:p>
    <w:p>
      <w:pPr>
        <w:ind w:left="397" w:hanging="397"/>
      </w:pPr>
      <w:r>
        <w:rPr>
          <w:b/>
        </w:rPr>
        <w:t xml:space="preserve">16. </w:t>
      </w:r>
      <w:r>
        <w:t>Het scherm toont twee kolommen: links de bestanden die op het toestel staan, rechts die op de computer. Zet het vinkje links, bij het bestand op het toestel — dat is wat de meting gebruikt.</w:t>
      </w:r>
    </w:p>
    <w:p>
      <w:pPr>
        <w:ind w:left="340"/>
      </w:pPr>
      <w:r>
        <w:rPr>
          <w:b w:val="0"/>
          <w:i/>
          <w:sz w:val="20"/>
        </w:rPr>
        <w:t>Staat het bestand rechts niet in de lijst, dan is dat geen probleem voor de meting. Wil je het toch op de computer hebben, gebruik dan ‘Pick configuration file’ of ‘Import config file’. Niet elke laptop heeft alle vijf de configuraties lokaal staan.</w:t>
      </w:r>
    </w:p>
    <w:p>
      <w:pPr>
        <w:ind w:left="397" w:hanging="397"/>
      </w:pPr>
      <w:r>
        <w:rPr>
          <w:b/>
        </w:rPr>
        <w:t xml:space="preserve">17. </w:t>
      </w:r>
      <w:r>
        <w:t>Herhaal voor het rechtertoestel, met het bestand dat op R eindigt.</w:t>
      </w:r>
    </w:p>
    <w:p>
      <w:pPr>
        <w:ind w:left="397" w:hanging="397"/>
      </w:pPr>
      <w:r>
        <w:rPr>
          <w:b/>
        </w:rPr>
        <w:t xml:space="preserve">18. </w:t>
      </w:r>
      <w:r>
        <w:t>Ga terug naar ‘Manage Devices’ en controleer bij ‘Configuration’ dat het gekozen bestand er in het geel staat. Vergelijk die tekst letter voor letter met het label op de zool.</w:t>
      </w:r>
    </w:p>
    <w:p>
      <w:pPr>
        <w:ind w:left="340"/>
      </w:pPr>
      <w:r>
        <w:rPr>
          <w:b w:val="0"/>
          <w:i/>
          <w:sz w:val="20"/>
        </w:rPr>
        <w:t>Elke zender heeft vijf configuratiebestanden in het geheugen, één per maat. De zender weet niet welke zool je hebt aangesloten — die koppeling maak jij, en alleen hier.</w:t>
      </w:r>
    </w:p>
    <w:p>
      <w:pPr>
        <w:keepNext/>
        <w:spacing w:before="200" w:after="80"/>
      </w:pPr>
      <w:r>
        <w:rPr>
          <w:b/>
          <w:sz w:val="24"/>
        </w:rPr>
        <w:t>7. Nulstellen en meetfrequentie</w:t>
      </w:r>
    </w:p>
    <w:p>
      <w:pPr>
        <w:keepNext/>
        <w:spacing w:before="160"/>
      </w:pPr>
      <w:r>
        <w:rPr>
          <w:b/>
          <w:sz w:val="18"/>
        </w:rPr>
        <w:t>Figure 8: Measure — nulstellen en meetfrequentie</w:t>
      </w:r>
    </w:p>
    <w:p>
      <w:pPr>
        <w:spacing w:after="160"/>
        <w:jc w:val="center"/>
      </w:pPr>
      <w:r>
        <w:drawing>
          <wp:inline xmlns:a="http://schemas.openxmlformats.org/drawingml/2006/main" xmlns:pic="http://schemas.openxmlformats.org/drawingml/2006/picture">
            <wp:extent cx="5760000" cy="3443845"/>
            <wp:docPr id="8" name="Picture 8"/>
            <wp:cNvGraphicFramePr>
              <a:graphicFrameLocks noChangeAspect="1"/>
            </wp:cNvGraphicFramePr>
            <a:graphic>
              <a:graphicData uri="http://schemas.openxmlformats.org/drawingml/2006/picture">
                <pic:pic>
                  <pic:nvPicPr>
                    <pic:cNvPr id="0" name="Schermafbeelding 2026-09-10 101325.png"/>
                    <pic:cNvPicPr/>
                  </pic:nvPicPr>
                  <pic:blipFill>
                    <a:blip r:embed="rId17"/>
                    <a:stretch>
                      <a:fillRect/>
                    </a:stretch>
                  </pic:blipFill>
                  <pic:spPr>
                    <a:xfrm>
                      <a:off x="0" y="0"/>
                      <a:ext cx="5760000" cy="3443845"/>
                    </a:xfrm>
                    <a:prstGeom prst="rect"/>
                  </pic:spPr>
                </pic:pic>
              </a:graphicData>
            </a:graphic>
          </wp:inline>
        </w:drawing>
      </w:r>
    </w:p>
    <w:p>
      <w:pPr>
        <w:ind w:left="397" w:hanging="397"/>
      </w:pPr>
      <w:r>
        <w:rPr>
          <w:b/>
        </w:rPr>
        <w:t xml:space="preserve">19. </w:t>
      </w:r>
      <w:r>
        <w:t>Ga naar ‘Measure’. Beide toestellen tonen ‘Ready’ en ‘Not zeroed’.</w:t>
      </w:r>
    </w:p>
    <w:p>
      <w:pPr>
        <w:ind w:left="397" w:hanging="397"/>
      </w:pPr>
      <w:r>
        <w:rPr>
          <w:b/>
        </w:rPr>
        <w:t xml:space="preserve">20. </w:t>
      </w:r>
      <w:r>
        <w:t>Leg de twee zolen onbelast en vlak op de tafel — nog niet in de schoen, niets erop, en raak ze niet aan. Klik dan per toestel op ‘Zero device’. De melding ‘Not zeroed’ verdwijnt.</w:t>
      </w:r>
    </w:p>
    <w:p>
      <w:pPr>
        <w:ind w:left="340"/>
      </w:pPr>
      <w:r>
        <w:rPr>
          <w:b/>
          <w:i w:val="0"/>
          <w:sz w:val="20"/>
        </w:rPr>
        <w:t>Nulstellen doe je één keer, aan het begin van de sessie. Niet opnieuw tussen de twee condities in: beide metingen horen tegen dezelfde nullijn te staan, anders vergelijk je appels met peren.</w:t>
      </w:r>
    </w:p>
    <w:p>
      <w:pPr>
        <w:ind w:left="397" w:hanging="397"/>
      </w:pPr>
      <w:r>
        <w:rPr>
          <w:b/>
        </w:rPr>
        <w:t xml:space="preserve">21. </w:t>
      </w:r>
      <w:r>
        <w:t>Zet ‘Sample rate’ op 100 Hz. De frequentierespons van de zool is opgegeven tot 100 Hz; gebruik voor elke deelnemer en elke visite dezelfde waarde.</w:t>
      </w:r>
    </w:p>
    <w:p>
      <w:pPr>
        <w:ind w:left="397" w:hanging="397"/>
      </w:pPr>
      <w:r>
        <w:rPr>
          <w:b/>
        </w:rPr>
        <w:t xml:space="preserve">22. </w:t>
      </w:r>
      <w:r>
        <w:t>Controleer bij ‘Select Active Cells’ dat er 99 staan. Dat is het aantal sensoren van een volwassen pedar-zool; staat er minder, dan zijn er cellen uitgeschakeld en klopt het beeld niet.</w:t>
      </w:r>
    </w:p>
    <w:p>
      <w:pPr>
        <w:keepNext/>
        <w:spacing w:before="200" w:after="80"/>
      </w:pPr>
      <w:r>
        <w:rPr>
          <w:b/>
          <w:sz w:val="24"/>
        </w:rPr>
        <w:t>8. De zolen in de schoen — let op de volgorde</w:t>
      </w:r>
    </w:p>
    <w:p>
      <w:r>
        <w:rPr>
          <w:b/>
          <w:i w:val="0"/>
          <w:sz w:val="20"/>
        </w:rPr>
        <w:t>De pedar-zool meet de druk óp de voet. Ze moet dus tussen de voet en de orthese liggen, niet eronder. Leg je ze onder de CMFO, dan meet je wat er tussen de orthese en de schoen gebeurt, en zie je van het ontlastende effect van de zool niets terug.</w:t>
      </w:r>
    </w:p>
    <w:p>
      <w:pPr>
        <w:keepNext/>
        <w:keepLines/>
      </w:pPr>
      <w:r>
        <w:rPr>
          <w:b/>
          <w:i w:val="0"/>
          <w:sz w:val="20"/>
        </w:rPr>
        <w:t>Van onder naar boven in de schoen:</w:t>
      </w:r>
    </w:p>
    <w:p>
      <w:pPr>
        <w:pStyle w:val="ListBullet"/>
        <w:keepNext/>
        <w:keepLines/>
        <w:ind w:left="397"/>
      </w:pPr>
      <w:r>
        <w:t>de schoen, met wat er normaal in zit</w:t>
      </w:r>
    </w:p>
    <w:p>
      <w:pPr>
        <w:pStyle w:val="ListBullet"/>
        <w:keepNext/>
        <w:keepLines/>
        <w:ind w:left="397"/>
      </w:pPr>
      <w:r>
        <w:t>de CMFO — alleen bij conditie B</w:t>
      </w:r>
    </w:p>
    <w:p>
      <w:pPr>
        <w:pStyle w:val="ListBullet"/>
        <w:keepNext/>
        <w:keepLines/>
        <w:ind w:left="397"/>
      </w:pPr>
      <w:r>
        <w:t>de pedar-zool</w:t>
      </w:r>
    </w:p>
    <w:p>
      <w:pPr>
        <w:pStyle w:val="ListBullet"/>
        <w:keepLines/>
        <w:ind w:left="397"/>
      </w:pPr>
      <w:r>
        <w:t>de sok en de voet</w:t>
      </w:r>
    </w:p>
    <w:p>
      <w:r>
        <w:rPr>
          <w:b w:val="0"/>
          <w:i w:val="0"/>
          <w:sz w:val="20"/>
        </w:rPr>
      </w:r>
    </w:p>
    <w:p>
      <w:pPr>
        <w:ind w:left="397" w:hanging="397"/>
      </w:pPr>
      <w:r>
        <w:rPr>
          <w:b/>
        </w:rPr>
        <w:t xml:space="preserve">23. </w:t>
      </w:r>
      <w:r>
        <w:t>Leg de pedar-zool vlak in de schoen, bovenop wat er al in ligt, zonder plooien. Voor conditie B ligt ze dus bovenop de CMFO.</w:t>
      </w:r>
    </w:p>
    <w:p>
      <w:pPr>
        <w:ind w:left="397" w:hanging="397"/>
      </w:pPr>
      <w:r>
        <w:rPr>
          <w:b/>
        </w:rPr>
        <w:t xml:space="preserve">24. </w:t>
      </w:r>
      <w:r>
        <w:t>Leid de kabel langs de binnenkant van de schoen naar buiten, zonder dat hij geklemd raakt, en zet de zender met de klittenband vast op het onderbeen of de enkel.</w:t>
      </w:r>
    </w:p>
    <w:p>
      <w:pPr>
        <w:ind w:left="397" w:hanging="397"/>
      </w:pPr>
      <w:r>
        <w:rPr>
          <w:b/>
        </w:rPr>
        <w:t xml:space="preserve">25. </w:t>
      </w:r>
      <w:r>
        <w:t>Laat de deelnemer dunne, naadloze katoenen sokken aandoen — voor elke deelnemer hetzelfde type — en de schoenen aantrekken.</w:t>
      </w:r>
    </w:p>
    <w:p>
      <w:pPr>
        <w:keepNext/>
        <w:spacing w:before="200" w:after="80"/>
      </w:pPr>
      <w:r>
        <w:rPr>
          <w:b/>
          <w:sz w:val="24"/>
        </w:rPr>
        <w:t>9. De meting</w:t>
      </w:r>
    </w:p>
    <w:p>
      <w:r>
        <w:rPr>
          <w:b/>
          <w:i w:val="0"/>
          <w:sz w:val="20"/>
        </w:rPr>
        <w:t>Elk paar schoeisel wordt apart doorgemeten. eCRF 24 heeft daarvoor twee volledige delen: A1 voor het buitenschoeisel en A2 voor het binnenschoeisel. Heeft de deelnemer allebei, dan doorloop je dit hoofdstuk twee keer en vul je beide delen in. Wissel niet halverwege van paar.</w:t>
      </w:r>
    </w:p>
    <w:p>
      <w:r>
        <w:rPr>
          <w:b w:val="0"/>
          <w:i w:val="0"/>
          <w:sz w:val="20"/>
        </w:rPr>
      </w:r>
    </w:p>
    <w:p>
      <w:r>
        <w:rPr>
          <w:b/>
          <w:i w:val="0"/>
          <w:sz w:val="20"/>
        </w:rPr>
        <w:t>Per paar schoeisel worden twee condities gemeten, in deze volgorde:</w:t>
      </w:r>
    </w:p>
    <w:p>
      <w:pPr>
        <w:pStyle w:val="ListBullet"/>
        <w:ind w:left="397"/>
      </w:pPr>
      <w:r>
        <w:t>A — in het schoeisel ZONDER de CMFO. De schoen bevat dan wat er normaal in zit, met de pedar-zool erbovenop.</w:t>
      </w:r>
    </w:p>
    <w:p>
      <w:pPr>
        <w:pStyle w:val="ListBullet"/>
        <w:ind w:left="397"/>
      </w:pPr>
      <w:r>
        <w:t>B — in het schoeisel MET de CMFO, met de pedar-zool bovenop de CMFO.</w:t>
      </w:r>
    </w:p>
    <w:p>
      <w:r>
        <w:rPr>
          <w:b w:val="0"/>
          <w:i/>
          <w:sz w:val="20"/>
        </w:rPr>
        <w:t>De 25%-reductie wordt tussen A en B gerekend, in dezelfde sessie.</w:t>
      </w:r>
    </w:p>
    <w:p>
      <w:r>
        <w:rPr>
          <w:b w:val="0"/>
          <w:i/>
          <w:sz w:val="20"/>
        </w:rPr>
        <w:t>Op visite 1 is er nog geen zool: dan wordt alleen conditie A gemeten, drie keer na elkaar, als informatie voor de pedorthist. Links en rechts worden tegelijk opgenomen — er zit immers in elke schoen een zool — en per voet apart uitgelezen. Sla stap 31 dan over: er is niets om aan te toetsen.</w:t>
      </w:r>
    </w:p>
    <w:p>
      <w:r>
        <w:rPr>
          <w:b w:val="0"/>
          <w:i w:val="0"/>
          <w:sz w:val="20"/>
        </w:rPr>
      </w:r>
    </w:p>
    <w:p>
      <w:pPr>
        <w:ind w:left="397" w:hanging="397"/>
      </w:pPr>
      <w:r>
        <w:rPr>
          <w:b/>
        </w:rPr>
        <w:t xml:space="preserve">26. </w:t>
      </w:r>
      <w:r>
        <w:t>Vul bij ‘Measurement identification’ in: deelnemerscode, visite en conditie — A zonder zool of B met zool.</w:t>
      </w:r>
    </w:p>
    <w:p>
      <w:pPr>
        <w:ind w:left="397" w:hanging="397"/>
      </w:pPr>
      <w:r>
        <w:rPr>
          <w:b/>
        </w:rPr>
        <w:t xml:space="preserve">27. </w:t>
      </w:r>
      <w:r>
        <w:t>Laat de deelnemer een paar meter wennen, buiten de meting.</w:t>
      </w:r>
    </w:p>
    <w:p>
      <w:pPr>
        <w:ind w:left="397" w:hanging="397"/>
      </w:pPr>
      <w:r>
        <w:rPr>
          <w:b/>
        </w:rPr>
        <w:t xml:space="preserve">28. </w:t>
      </w:r>
      <w:r>
        <w:t>Klik op ‘Start measurement’ en laat de deelnemer de looproute afleggen op zelfgekozen comfortsnelheid.</w:t>
      </w:r>
    </w:p>
    <w:p>
      <w:pPr>
        <w:ind w:left="397" w:hanging="397"/>
      </w:pPr>
      <w:r>
        <w:rPr>
          <w:b/>
        </w:rPr>
        <w:t xml:space="preserve">29. </w:t>
      </w:r>
      <w:r>
        <w:t>Verzamel minstens 12 bruikbare mid-gait stappen per voet. Eén doorgang van tien meter levert er meestal een handvol, dus laat de deelnemer heen en weer lopen tot je er zeker genoeg hebt — reken op twee tot drie doorgangen. De eerste en de laatste stappen van elke doorgang tellen niet mee: die zijn versnellend of afremmend.</w:t>
      </w:r>
    </w:p>
    <w:p>
      <w:pPr>
        <w:ind w:left="397" w:hanging="397"/>
      </w:pPr>
      <w:r>
        <w:rPr>
          <w:b/>
        </w:rPr>
        <w:t xml:space="preserve">30. </w:t>
      </w:r>
      <w:r>
        <w:t>Klik op ‘Stop’.</w:t>
      </w:r>
    </w:p>
    <w:p>
      <w:pPr>
        <w:ind w:left="397" w:hanging="397"/>
      </w:pPr>
      <w:r>
        <w:rPr>
          <w:b/>
        </w:rPr>
        <w:t xml:space="preserve">31. </w:t>
      </w:r>
      <w:r>
        <w:t>Voor conditie B: laat de deelnemer de schoenen uitdoen, leg de CMFO in de schoen en de pedar-zool daar bovenop, en herhaal stap 24 tot 30. Stel niet opnieuw nul. Houd de snelheid gelijk; bij opvolging mag ze maximaal 5% afwijken van de baselinemeting.</w:t>
      </w:r>
    </w:p>
    <w:p>
      <w:pPr>
        <w:keepNext/>
        <w:spacing w:before="200" w:after="80"/>
      </w:pPr>
      <w:r>
        <w:rPr>
          <w:b/>
          <w:sz w:val="24"/>
        </w:rPr>
        <w:t>10. De meting bekijken en de piekdruk aflezen</w:t>
      </w:r>
    </w:p>
    <w:p>
      <w:pPr>
        <w:ind w:left="397" w:hanging="397"/>
      </w:pPr>
      <w:r>
        <w:rPr>
          <w:b/>
        </w:rPr>
        <w:t xml:space="preserve">32. </w:t>
      </w:r>
      <w:r>
        <w:t>Ga naar ‘Archive &amp; Analyse’ en open het bestand van deze meting. Het staat onder C:\Users\Public\Documents\Novel Studio\plidar_data\&lt;datum&gt;, met een naam als pedar_2026-09-10_09-23-18-577.plidar.</w:t>
      </w:r>
    </w:p>
    <w:p>
      <w:pPr>
        <w:keepNext/>
        <w:spacing w:before="160"/>
      </w:pPr>
      <w:r>
        <w:rPr>
          <w:b/>
          <w:sz w:val="18"/>
        </w:rPr>
        <w:t>Figure 9: Chart controls — het meetvenster afbakenen</w:t>
      </w:r>
    </w:p>
    <w:p>
      <w:pPr>
        <w:spacing w:after="160"/>
        <w:jc w:val="center"/>
      </w:pPr>
      <w:r>
        <w:drawing>
          <wp:inline xmlns:a="http://schemas.openxmlformats.org/drawingml/2006/main" xmlns:pic="http://schemas.openxmlformats.org/drawingml/2006/picture">
            <wp:extent cx="5760000" cy="3339490"/>
            <wp:docPr id="9" name="Picture 9"/>
            <wp:cNvGraphicFramePr>
              <a:graphicFrameLocks noChangeAspect="1"/>
            </wp:cNvGraphicFramePr>
            <a:graphic>
              <a:graphicData uri="http://schemas.openxmlformats.org/drawingml/2006/picture">
                <pic:pic>
                  <pic:nvPicPr>
                    <pic:cNvPr id="0" name="Schermafbeelding 2026-09-10 100125.png"/>
                    <pic:cNvPicPr/>
                  </pic:nvPicPr>
                  <pic:blipFill>
                    <a:blip r:embed="rId18"/>
                    <a:stretch>
                      <a:fillRect/>
                    </a:stretch>
                  </pic:blipFill>
                  <pic:spPr>
                    <a:xfrm>
                      <a:off x="0" y="0"/>
                      <a:ext cx="5760000" cy="3339490"/>
                    </a:xfrm>
                    <a:prstGeom prst="rect"/>
                  </pic:spPr>
                </pic:pic>
              </a:graphicData>
            </a:graphic>
          </wp:inline>
        </w:drawing>
      </w:r>
    </w:p>
    <w:p>
      <w:pPr>
        <w:ind w:left="397" w:hanging="397"/>
      </w:pPr>
      <w:r>
        <w:rPr>
          <w:b/>
        </w:rPr>
        <w:t xml:space="preserve">33. </w:t>
      </w:r>
      <w:r>
        <w:t>Open ‘Chart controls’ en gebruik ‘Set Range’ of de tijdbalk om alleen het mid-gait deel in beeld te brengen. ‘Fit All Data’ zet de weergave terug op de volledige meting. Of de getallen daarmee ook herberekend worden is nog niet bevestigd — zie hoofdstuk 11; voor de piekdruk maakt het niet uit.</w:t>
      </w:r>
    </w:p>
    <w:p>
      <w:pPr>
        <w:keepNext/>
        <w:spacing w:before="160"/>
      </w:pPr>
      <w:r>
        <w:rPr>
          <w:b/>
          <w:sz w:val="18"/>
        </w:rPr>
        <w:t>Figure 10: MVP O — de gemiddelde drukverdeling; let op de veel lagere waarden</w:t>
      </w:r>
    </w:p>
    <w:p>
      <w:pPr>
        <w:spacing w:after="160"/>
        <w:jc w:val="center"/>
      </w:pPr>
      <w:r>
        <w:drawing>
          <wp:inline xmlns:a="http://schemas.openxmlformats.org/drawingml/2006/main" xmlns:pic="http://schemas.openxmlformats.org/drawingml/2006/picture">
            <wp:extent cx="5760000" cy="3343059"/>
            <wp:docPr id="10" name="Picture 10"/>
            <wp:cNvGraphicFramePr>
              <a:graphicFrameLocks noChangeAspect="1"/>
            </wp:cNvGraphicFramePr>
            <a:graphic>
              <a:graphicData uri="http://schemas.openxmlformats.org/drawingml/2006/picture">
                <pic:pic>
                  <pic:nvPicPr>
                    <pic:cNvPr id="0" name="Schermafbeelding 2026-09-10 095945.png"/>
                    <pic:cNvPicPr/>
                  </pic:nvPicPr>
                  <pic:blipFill>
                    <a:blip r:embed="rId19"/>
                    <a:stretch>
                      <a:fillRect/>
                    </a:stretch>
                  </pic:blipFill>
                  <pic:spPr>
                    <a:xfrm>
                      <a:off x="0" y="0"/>
                      <a:ext cx="5760000" cy="3343059"/>
                    </a:xfrm>
                    <a:prstGeom prst="rect"/>
                  </pic:spPr>
                </pic:pic>
              </a:graphicData>
            </a:graphic>
          </wp:inline>
        </w:drawing>
      </w:r>
    </w:p>
    <w:p>
      <w:pPr>
        <w:keepNext/>
        <w:spacing w:before="160"/>
      </w:pPr>
      <w:r>
        <w:rPr>
          <w:b/>
          <w:sz w:val="18"/>
        </w:rPr>
        <w:t>Figure 11: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1" name="Picture 11"/>
            <wp:cNvGraphicFramePr>
              <a:graphicFrameLocks noChangeAspect="1"/>
            </wp:cNvGraphicFramePr>
            <a:graphic>
              <a:graphicData uri="http://schemas.openxmlformats.org/drawingml/2006/picture">
                <pic:pic>
                  <pic:nvPicPr>
                    <pic:cNvPr id="0" name="Schermafbeelding 2026-09-10 100159.png"/>
                    <pic:cNvPicPr/>
                  </pic:nvPicPr>
                  <pic:blipFill>
                    <a:blip r:embed="rId20"/>
                    <a:stretch>
                      <a:fillRect/>
                    </a:stretch>
                  </pic:blipFill>
                  <pic:spPr>
                    <a:xfrm>
                      <a:off x="0" y="0"/>
                      <a:ext cx="5760000" cy="3351314"/>
                    </a:xfrm>
                    <a:prstGeom prst="rect"/>
                  </pic:spPr>
                </pic:pic>
              </a:graphicData>
            </a:graphic>
          </wp:inline>
        </w:drawing>
      </w:r>
    </w:p>
    <w:p>
      <w:pPr>
        <w:ind w:left="397" w:hanging="397"/>
      </w:pPr>
      <w:r>
        <w:rPr>
          <w:b/>
        </w:rPr>
        <w:t xml:space="preserve">34.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35. </w:t>
      </w:r>
      <w:r>
        <w:t>Lees onderaan per voet af: Maximum force, Peak pressure, Average pressure en Loaded area. Noteer ze op het formulier.</w:t>
      </w:r>
    </w:p>
    <w:p>
      <w:pPr>
        <w:ind w:left="397" w:hanging="397"/>
      </w:pPr>
      <w:r>
        <w:rPr>
          <w:b/>
        </w:rPr>
        <w:t xml:space="preserve">36. </w:t>
      </w:r>
      <w:r>
        <w:t>Noteer de drie hoogste piekdrukwaarden en waar op de voet ze liggen. Het palet is zo ingesteld dat alles wat de topkleur haalt op of boven de norm van 200 kPa ligt — je ziet dus in één oogopslag welke plekken eruit springen. Beschrijf de plaats met de regio-indeling van het protocol: hiel, mediale middenvoet, laterale middenvoet, metatarsaal 1, metatarsaal 2-3, metatarsaal 4-5, hallux, tenen 2-5.</w:t>
      </w:r>
    </w:p>
    <w:p>
      <w:pPr>
        <w:ind w:left="397" w:hanging="397"/>
      </w:pPr>
      <w:r>
        <w:rPr>
          <w:b/>
        </w:rPr>
        <w:t xml:space="preserve">37. </w:t>
      </w:r>
      <w:r>
        <w:t>Maak een schermafbeelding van het MPP-beeld, met de kleurenschaal zichtbaar, en plak die in de eCRF-Excel bij deze deelnemer en dit meetmoment. Gebruik Windows-toets + Shift + S, sleep een kader rond het voetbeeld én de kleurenschaal, en plak met Ctrl + V in de Excel. Zo ligt de beoordeling vast in beeld naast de cijfers.</w:t>
      </w:r>
    </w:p>
    <w:p>
      <w:r>
        <w:rPr>
          <w:b/>
          <w:i w:val="0"/>
          <w:sz w:val="20"/>
        </w:rPr>
        <w:t>De norm: piekdruk onder 200 kPa mét de zool, óf minstens 25% lager dan dezelfde regio zonder de zool in dezelfde sessie. Gehaald op alle drie de doelregio’s? Dan is de zool in orde. Zo niet: laat de pedorthist aanpassen en meet opnieuw.</w:t>
      </w:r>
    </w:p>
    <w:p>
      <w:r>
        <w:rPr>
          <w:b w:val="0"/>
          <w:i/>
          <w:sz w:val="20"/>
        </w:rPr>
        <w:t>De drie doelregio’s worden op eCRF 24 zelf aangeduid, boven de meettabellen: de regio met de voorgeschiedenis van voetzweer — die staat op eCRF 06 — plus de één of twee regio’s met de hoogste piekdruk zonder de zool. Duid ze aan vóór je conditie B meet, anders weet je achteraf niet waarop je moest toetsen.</w:t>
      </w:r>
    </w:p>
    <w:p>
      <w:r>
        <w:rPr>
          <w:b w:val="0"/>
          <w:i/>
          <w:sz w:val="20"/>
        </w:rPr>
        <w:t>Zolang novel studio de zool niet in regio’s kan verdelen, is dit de werkwijze: de clinicus leest af wat het palet toont en legt het beeld vast. Dat is bewust een tussenoplossing; ze wordt vervangen zodra de segmentatie er is.</w:t>
      </w:r>
    </w:p>
    <w:p>
      <w:pPr>
        <w:keepNext/>
        <w:spacing w:before="200" w:after="80"/>
      </w:pPr>
      <w:r>
        <w:rPr>
          <w:b/>
          <w:sz w:val="24"/>
        </w:rPr>
        <w:t>11. Wachten, stilstaan of een misstap — wat telt er mee?</w:t>
      </w:r>
    </w:p>
    <w:p>
      <w:r>
        <w:rPr>
          <w:b w:val="0"/>
          <w:i w:val="0"/>
          <w:sz w:val="20"/>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die zonder enige druk. Dit geeft de laagste waarden, en een pauze drukt ze verder omlaag.</w:t>
      </w:r>
    </w:p>
    <w:p>
      <w:pPr>
        <w:pStyle w:val="ListBullet"/>
        <w:ind w:left="680"/>
      </w:pPr>
      <w:r>
        <w:t>MVP LC — alleen over geladen frames én geladen sensoren; nulwaarden tellen helemaal niet mee.</w:t>
      </w:r>
    </w:p>
    <w:p>
      <w:pPr>
        <w:pStyle w:val="ListBullet"/>
        <w:ind w:left="680"/>
      </w:pPr>
      <w:r>
        <w:t>MVP LF — alleen over geladen frames: frames waarin minstens één sensor druk registreerde. Staat de voet in de lucht, dan telt dat frame niet mee.</w:t>
      </w:r>
    </w:p>
    <w:p>
      <w:pPr>
        <w:ind w:left="340"/>
      </w:pPr>
      <w:r>
        <w:rPr>
          <w:b w:val="0"/>
          <w:i/>
          <w:sz w:val="20"/>
        </w:rPr>
        <w:t>De drie staan in die volgorde als tabbladen links in Archive &amp; Analyse, onder MPP.</w:t>
      </w:r>
    </w:p>
    <w:p>
      <w:r>
        <w:rPr>
          <w:b/>
          <w:i w:val="0"/>
          <w:sz w:val="20"/>
        </w:rPr>
        <w:t>Blijft de deelnemer stílstaan met gewicht op de voet, dan zijn die frames wél geladen en vallen ze ook in MVP LF en LC. Knip ze er dan uit met ‘Set Range’ in Chart controls: bakent het tijdvenster af tot het stuk waarin echt gestapt wordt.</w:t>
      </w:r>
    </w:p>
    <w:p>
      <w:r>
        <w:rPr>
          <w:b w:val="0"/>
          <w:i/>
          <w:sz w:val="20"/>
        </w:rPr>
        <w:t>Te toetsen tijdens de droogloop: of MPP en MVP daadwerkelijk herberekend worden over de selectie van ‘Set Range’, of alleen de grafiek inzoomt. Meet daarvoor één opname twee keer af, één keer volledig en één keer met een selectie, en vergelijk de getallen.</w:t>
      </w:r>
    </w:p>
    <w:p>
      <w:r>
        <w:rPr>
          <w:b w:val="0"/>
          <w:i w:val="0"/>
          <w:sz w:val="20"/>
        </w:rPr>
        <w:t>Lukt het aan de stoel niet, meet dan gewoon door. Het studieteam kan de frames achteraf uit het bestand knippen — zie hoofdstuk 13. Herhaal de doorgang alleen als de deelnemer zó lang stilstond dat er te weinig stappen overblijven.</w:t>
      </w:r>
    </w:p>
    <w:p>
      <w:pPr>
        <w:keepNext/>
        <w:spacing w:before="200" w:after="80"/>
      </w:pPr>
      <w:r>
        <w:rPr>
          <w:b/>
          <w:sz w:val="24"/>
        </w:rPr>
        <w:t>12. Opslaan en afronden</w:t>
      </w:r>
    </w:p>
    <w:p>
      <w:pPr>
        <w:ind w:left="397" w:hanging="397"/>
      </w:pPr>
      <w:r>
        <w:rPr>
          <w:b/>
        </w:rPr>
        <w:t xml:space="preserve">38. </w:t>
      </w:r>
      <w:r>
        <w:t>Gebruik ‘Export as’ om de meting te exporteren.</w:t>
      </w:r>
    </w:p>
    <w:p>
      <w:pPr>
        <w:ind w:left="397" w:hanging="397"/>
      </w:pPr>
      <w:r>
        <w:rPr>
          <w:b/>
        </w:rPr>
        <w:t xml:space="preserve">39. </w:t>
      </w:r>
      <w:r>
        <w:t>Noteer de bestandsnaam en de datum op eCRF 09 of 24, samen met de zoolcodes die je gebruikt hebt.</w:t>
      </w:r>
    </w:p>
    <w:p>
      <w:pPr>
        <w:ind w:left="397" w:hanging="397"/>
      </w:pPr>
      <w:r>
        <w:rPr>
          <w:b/>
        </w:rPr>
        <w:t xml:space="preserve">40. </w:t>
      </w:r>
      <w:r>
        <w:t>Controleer dat de schermafbeelding van het MPP-beeld in de eCRF-Excel staat, bij de juiste deelnemer, het juiste meetmoment en de juiste conditie — zonder of met de zool.</w:t>
      </w:r>
    </w:p>
    <w:p>
      <w:pPr>
        <w:ind w:left="397" w:hanging="397"/>
      </w:pPr>
      <w:r>
        <w:rPr>
          <w:b/>
        </w:rPr>
        <w:t xml:space="preserve">41. </w:t>
      </w:r>
      <w:r>
        <w:t>Neem de zolen uit de schoenen, veeg ze schoon en berg ze vlak op.</w:t>
      </w:r>
    </w:p>
    <w:p>
      <w:pPr>
        <w:ind w:left="397" w:hanging="397"/>
      </w:pPr>
      <w:r>
        <w:rPr>
          <w:b/>
        </w:rPr>
        <w:t xml:space="preserve">42. </w:t>
      </w:r>
      <w:r>
        <w:t>Zet de toestellen aan de lader als de batterij laag staat.</w:t>
      </w:r>
    </w:p>
    <w:p>
      <w:pPr>
        <w:keepNext/>
        <w:spacing w:before="200" w:after="80"/>
      </w:pPr>
      <w:r>
        <w:rPr>
          <w:b/>
          <w:sz w:val="24"/>
        </w:rPr>
        <w:t>13. Wat er daarna met de meting gebeurt</w:t>
      </w:r>
    </w:p>
    <w:p>
      <w:r>
        <w:rPr>
          <w:b w:val="0"/>
          <w:i w:val="0"/>
          <w:sz w:val="20"/>
        </w:rPr>
        <w:t>Novel studio meet en toont; het rekent niet per regio. Wat jij aan de stoel aflezt op het palet is de klinische beslissing van dat moment — daar hoef je niets meer aan te doen. De analyse per anatomische regio gebeurt nadien, centraal, door het studieteam.</w:t>
      </w:r>
    </w:p>
    <w:p>
      <w:r>
        <w:rPr>
          <w:b/>
          <w:i w:val="0"/>
          <w:sz w:val="20"/>
        </w:rPr>
        <w:t>Dat gebeurt in de novel database, met programma's die op hetzelfde pedar-bestand werken dat jij exporteert:</w:t>
      </w:r>
    </w:p>
    <w:tbl>
      <w:tblPr>
        <w:tblStyle w:val="TableGrid"/>
        <w:tblW w:type="auto" w:w="0"/>
        <w:jc w:val="left"/>
        <w:tblLook w:firstColumn="1" w:firstRow="1" w:lastColumn="0" w:lastRow="0" w:noHBand="0" w:noVBand="1" w:val="04A0"/>
      </w:tblPr>
      <w:tblGrid>
        <w:gridCol w:w="4536"/>
        <w:gridCol w:w="4536"/>
      </w:tblGrid>
      <w:tr>
        <w:tc>
          <w:tcPr>
            <w:tcW w:type="dxa" w:w="2551"/>
          </w:tcPr>
          <w:p>
            <w:r/>
            <w:r>
              <w:rPr>
                <w:b/>
                <w:sz w:val="18"/>
              </w:rPr>
              <w:t>Programma</w:t>
            </w:r>
          </w:p>
        </w:tc>
        <w:tc>
          <w:tcPr>
            <w:tcW w:type="dxa" w:w="6236"/>
          </w:tcPr>
          <w:p>
            <w:r/>
            <w:r>
              <w:rPr>
                <w:b/>
                <w:sz w:val="18"/>
              </w:rPr>
              <w:t>Wat het met jouw bestand doet</w:t>
            </w:r>
          </w:p>
        </w:tc>
      </w:tr>
      <w:tr>
        <w:tc>
          <w:tcPr>
            <w:tcW w:type="dxa" w:w="2551"/>
          </w:tcPr>
          <w:p>
            <w:r/>
            <w:r>
              <w:rPr>
                <w:sz w:val="18"/>
              </w:rPr>
              <w:t>creation of any and</w:t>
              <w:br/>
              <w:t>percent masks</w:t>
            </w:r>
          </w:p>
        </w:tc>
        <w:tc>
          <w:tcPr>
            <w:tcW w:type="dxa" w:w="6236"/>
          </w:tcPr>
          <w:p>
            <w:r/>
            <w:r>
              <w:rPr>
                <w:sz w:val="18"/>
              </w:rPr>
              <w:t>Tekent de acht regio's van het protocol één keer als masker op de zool</w:t>
            </w:r>
          </w:p>
        </w:tc>
      </w:tr>
      <w:tr>
        <w:tc>
          <w:tcPr>
            <w:tcW w:type="dxa" w:w="2551"/>
          </w:tcPr>
          <w:p>
            <w:r/>
            <w:r>
              <w:rPr>
                <w:sz w:val="18"/>
              </w:rPr>
              <w:t>multimask evaluation</w:t>
            </w:r>
          </w:p>
        </w:tc>
        <w:tc>
          <w:tcPr>
            <w:tcW w:type="dxa" w:w="6236"/>
          </w:tcPr>
          <w:p>
            <w:r/>
            <w:r>
              <w:rPr>
                <w:sz w:val="18"/>
              </w:rPr>
              <w:t>Rekent de piekdruk per regio uit voor één meting</w:t>
            </w:r>
          </w:p>
        </w:tc>
      </w:tr>
      <w:tr>
        <w:tc>
          <w:tcPr>
            <w:tcW w:type="dxa" w:w="2551"/>
          </w:tcPr>
          <w:p>
            <w:r/>
            <w:r>
              <w:rPr>
                <w:sz w:val="18"/>
              </w:rPr>
              <w:t>groupmask evaluation</w:t>
            </w:r>
          </w:p>
        </w:tc>
        <w:tc>
          <w:tcPr>
            <w:tcW w:type="dxa" w:w="6236"/>
          </w:tcPr>
          <w:p>
            <w:r/>
            <w:r>
              <w:rPr>
                <w:sz w:val="18"/>
              </w:rPr>
              <w:t>Doet hetzelfde over alle metingen van de studie tegelijk</w:t>
            </w:r>
          </w:p>
        </w:tc>
      </w:tr>
      <w:tr>
        <w:tc>
          <w:tcPr>
            <w:tcW w:type="dxa" w:w="2551"/>
          </w:tcPr>
          <w:p>
            <w:r/>
            <w:r>
              <w:rPr>
                <w:sz w:val="18"/>
              </w:rPr>
              <w:t>file master</w:t>
            </w:r>
          </w:p>
        </w:tc>
        <w:tc>
          <w:tcPr>
            <w:tcW w:type="dxa" w:w="6236"/>
          </w:tcPr>
          <w:p>
            <w:r/>
            <w:r>
              <w:rPr>
                <w:sz w:val="18"/>
              </w:rPr>
              <w:t>Knipt frames weg tussen twee markers — hiermee gaat een pauze of een misstap er alsnog uit</w:t>
            </w:r>
          </w:p>
        </w:tc>
      </w:tr>
    </w:tbl>
    <w:p/>
    <w:p>
      <w:r>
        <w:rPr>
          <w:b/>
          <w:i w:val="0"/>
          <w:sz w:val="20"/>
        </w:rPr>
        <w:t>Daarom is het exportbestand geen bijzaak: het is de eigenlijke meetdata. De schermafbeelding in de eCRF-Excel legt jouw beoordeling vast, het bestand legt de meting vast. Beide zijn nodig.</w:t>
      </w:r>
    </w:p>
    <w:p>
      <w:r>
        <w:rPr>
          <w:b w:val="0"/>
          <w:i w:val="0"/>
          <w:sz w:val="20"/>
        </w:rPr>
        <w:t>Bewaar het bestand tot het studieteam bevestigt dat het goed is aangekomen. Verwijder nooit een meting van de laptop op eigen initiatief.</w:t>
      </w:r>
    </w:p>
    <w:p>
      <w:pPr>
        <w:keepNext/>
        <w:spacing w:before="200" w:after="80"/>
      </w:pPr>
      <w:r>
        <w:rPr>
          <w:b/>
          <w:sz w:val="24"/>
        </w:rPr>
        <w:t>14.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0"/>
        </w:rPr>
      </w:r>
    </w:p>
    <w:p>
      <w:r>
        <w:rPr>
          <w:b/>
          <w:i w:val="0"/>
          <w:sz w:val="20"/>
        </w:rPr>
        <w:t>Technische gegevens van de zool, uit de pedar® Insole Catalogue:</w:t>
      </w:r>
    </w:p>
    <w:tbl>
      <w:tblPr>
        <w:tblStyle w:val="TableGrid"/>
        <w:tblW w:type="auto" w:w="0"/>
        <w:jc w:val="left"/>
        <w:tblLook w:firstColumn="1" w:firstRow="1" w:lastColumn="0" w:lastRow="0" w:noHBand="0" w:noVBand="1" w:val="04A0"/>
      </w:tblPr>
      <w:tblGrid>
        <w:gridCol w:w="4536"/>
        <w:gridCol w:w="4536"/>
      </w:tblGrid>
      <w:tr>
        <w:tc>
          <w:tcPr>
            <w:tcW w:type="dxa" w:w="4535"/>
          </w:tcPr>
          <w:p>
            <w:r/>
            <w:r>
              <w:rPr>
                <w:b/>
                <w:sz w:val="18"/>
              </w:rPr>
              <w:t>Kenmerk</w:t>
            </w:r>
          </w:p>
        </w:tc>
        <w:tc>
          <w:tcPr>
            <w:tcW w:type="dxa" w:w="2835"/>
          </w:tcPr>
          <w:p>
            <w:r/>
            <w:r>
              <w:rPr>
                <w:b/>
                <w:sz w:val="18"/>
              </w:rPr>
              <w:t>Waarde</w:t>
            </w:r>
          </w:p>
        </w:tc>
      </w:tr>
      <w:tr>
        <w:tc>
          <w:tcPr>
            <w:tcW w:type="dxa" w:w="4535"/>
          </w:tcPr>
          <w:p>
            <w:r/>
            <w:r>
              <w:rPr>
                <w:sz w:val="18"/>
              </w:rPr>
              <w:t>Aantal sensoren (volwassen zool)</w:t>
            </w:r>
          </w:p>
        </w:tc>
        <w:tc>
          <w:tcPr>
            <w:tcW w:type="dxa" w:w="2835"/>
          </w:tcPr>
          <w:p>
            <w:r/>
            <w:r>
              <w:rPr>
                <w:sz w:val="18"/>
              </w:rPr>
              <w:t>99</w:t>
            </w:r>
          </w:p>
        </w:tc>
      </w:tr>
      <w:tr>
        <w:tc>
          <w:tcPr>
            <w:tcW w:type="dxa" w:w="4535"/>
          </w:tcPr>
          <w:p>
            <w:r/>
            <w:r>
              <w:rPr>
                <w:sz w:val="18"/>
              </w:rPr>
              <w:t>Dikte van de sensor</w:t>
            </w:r>
          </w:p>
        </w:tc>
        <w:tc>
          <w:tcPr>
            <w:tcW w:type="dxa" w:w="2835"/>
          </w:tcPr>
          <w:p>
            <w:r/>
            <w:r>
              <w:rPr>
                <w:sz w:val="18"/>
              </w:rPr>
              <w:t>1,9 mm</w:t>
            </w:r>
          </w:p>
        </w:tc>
      </w:tr>
      <w:tr>
        <w:tc>
          <w:tcPr>
            <w:tcW w:type="dxa" w:w="4535"/>
          </w:tcPr>
          <w:p>
            <w:r/>
            <w:r>
              <w:rPr>
                <w:sz w:val="18"/>
              </w:rPr>
              <w:t>Drukbereik</w:t>
            </w:r>
          </w:p>
        </w:tc>
        <w:tc>
          <w:tcPr>
            <w:tcW w:type="dxa" w:w="2835"/>
          </w:tcPr>
          <w:p>
            <w:r/>
            <w:r>
              <w:rPr>
                <w:sz w:val="18"/>
              </w:rPr>
              <w:t>15 – 600 kPa</w:t>
            </w:r>
          </w:p>
        </w:tc>
      </w:tr>
      <w:tr>
        <w:tc>
          <w:tcPr>
            <w:tcW w:type="dxa" w:w="4535"/>
          </w:tcPr>
          <w:p>
            <w:r/>
            <w:r>
              <w:rPr>
                <w:sz w:val="18"/>
              </w:rPr>
              <w:t>Resolutie</w:t>
            </w:r>
          </w:p>
        </w:tc>
        <w:tc>
          <w:tcPr>
            <w:tcW w:type="dxa" w:w="2835"/>
          </w:tcPr>
          <w:p>
            <w:r/>
            <w:r>
              <w:rPr>
                <w:sz w:val="18"/>
              </w:rPr>
              <w:t>2,5 kPa</w:t>
            </w:r>
          </w:p>
        </w:tc>
      </w:tr>
      <w:tr>
        <w:tc>
          <w:tcPr>
            <w:tcW w:type="dxa" w:w="4535"/>
          </w:tcPr>
          <w:p>
            <w:r/>
            <w:r>
              <w:rPr>
                <w:sz w:val="18"/>
              </w:rPr>
              <w:t>Hysterese</w:t>
            </w:r>
          </w:p>
        </w:tc>
        <w:tc>
          <w:tcPr>
            <w:tcW w:type="dxa" w:w="2835"/>
          </w:tcPr>
          <w:p>
            <w:r/>
            <w:r>
              <w:rPr>
                <w:sz w:val="18"/>
              </w:rPr>
              <w:t>&lt; 7%</w:t>
            </w:r>
          </w:p>
        </w:tc>
      </w:tr>
      <w:tr>
        <w:tc>
          <w:tcPr>
            <w:tcW w:type="dxa" w:w="4535"/>
          </w:tcPr>
          <w:p>
            <w:r/>
            <w:r>
              <w:rPr>
                <w:sz w:val="18"/>
              </w:rPr>
              <w:t>Temperatuurdrift van de nullijn</w:t>
            </w:r>
          </w:p>
        </w:tc>
        <w:tc>
          <w:tcPr>
            <w:tcW w:type="dxa" w:w="2835"/>
          </w:tcPr>
          <w:p>
            <w:r/>
            <w:r>
              <w:rPr>
                <w:sz w:val="18"/>
              </w:rPr>
              <w:t>&lt; 0,5 kPa/K</w:t>
            </w:r>
          </w:p>
        </w:tc>
      </w:tr>
      <w:tr>
        <w:tc>
          <w:tcPr>
            <w:tcW w:type="dxa" w:w="4535"/>
          </w:tcPr>
          <w:p>
            <w:r/>
            <w:r>
              <w:rPr>
                <w:sz w:val="18"/>
              </w:rPr>
              <w:t>Frequentierespons</w:t>
            </w:r>
          </w:p>
        </w:tc>
        <w:tc>
          <w:tcPr>
            <w:tcW w:type="dxa" w:w="2835"/>
          </w:tcPr>
          <w:p>
            <w:r/>
            <w:r>
              <w:rPr>
                <w:sz w:val="18"/>
              </w:rPr>
              <w:t>0 – 100 Hz, &lt; 2 dB</w:t>
            </w:r>
          </w:p>
        </w:tc>
      </w:tr>
      <w:tr>
        <w:tc>
          <w:tcPr>
            <w:tcW w:type="dxa" w:w="4535"/>
          </w:tcPr>
          <w:p>
            <w:r/>
            <w:r>
              <w:rPr>
                <w:sz w:val="18"/>
              </w:rPr>
              <w:t>Minimale buigstraal</w:t>
            </w:r>
          </w:p>
        </w:tc>
        <w:tc>
          <w:tcPr>
            <w:tcW w:type="dxa" w:w="2835"/>
          </w:tcPr>
          <w:p>
            <w:r/>
            <w:r>
              <w:rPr>
                <w:sz w:val="18"/>
              </w:rPr>
              <w:t>20 mm</w:t>
            </w:r>
          </w:p>
        </w:tc>
      </w:tr>
      <w:tr>
        <w:tc>
          <w:tcPr>
            <w:tcW w:type="dxa" w:w="4535"/>
          </w:tcPr>
          <w:p>
            <w:r/>
            <w:r>
              <w:rPr>
                <w:sz w:val="18"/>
              </w:rPr>
              <w:t>Drukverandering door buigen</w:t>
            </w:r>
          </w:p>
        </w:tc>
        <w:tc>
          <w:tcPr>
            <w:tcW w:type="dxa" w:w="2835"/>
          </w:tcPr>
          <w:p>
            <w:r/>
            <w:r>
              <w:rPr>
                <w:sz w:val="18"/>
              </w:rPr>
              <w:t>&lt; 20 kPa</w:t>
            </w:r>
          </w:p>
        </w:tc>
      </w:tr>
    </w:tbl>
    <w:p/>
    <w:p>
      <w:r>
        <w:rPr>
          <w:b w:val="0"/>
          <w:i/>
          <w:sz w:val="16"/>
        </w:rPr>
        <w:t>Bron: pedar® Insole Catalogue, novel gmbh, 2020.</w:t>
      </w:r>
    </w:p>
    <w:p>
      <w:pPr>
        <w:keepNext/>
        <w:spacing w:before="200" w:after="80"/>
      </w:pPr>
      <w:r>
        <w:rPr>
          <w:b/>
          <w:sz w:val="24"/>
        </w:rPr>
        <w:t>15. Als er iets misloopt</w:t>
      </w:r>
    </w:p>
    <w:tbl>
      <w:tblPr>
        <w:tblStyle w:val="TableGrid"/>
        <w:tblW w:type="auto" w:w="0"/>
        <w:jc w:val="left"/>
        <w:tblLook w:firstColumn="1" w:firstRow="1" w:lastColumn="0" w:lastRow="0" w:noHBand="0" w:noVBand="1" w:val="04A0"/>
      </w:tblPr>
      <w:tblGrid>
        <w:gridCol w:w="4536"/>
        <w:gridCol w:w="4536"/>
      </w:tblGrid>
      <w:tr>
        <w:tc>
          <w:tcPr>
            <w:tcW w:type="dxa" w:w="3288"/>
          </w:tcPr>
          <w:p>
            <w:r/>
            <w:r>
              <w:rPr>
                <w:b/>
                <w:sz w:val="18"/>
              </w:rPr>
              <w:t>Wat je ziet</w:t>
            </w:r>
          </w:p>
        </w:tc>
        <w:tc>
          <w:tcPr>
            <w:tcW w:type="dxa" w:w="5783"/>
          </w:tcPr>
          <w:p>
            <w:r/>
            <w:r>
              <w:rPr>
                <w:b/>
                <w:sz w:val="18"/>
              </w:rPr>
              <w:t>Wat je doet</w:t>
            </w:r>
          </w:p>
        </w:tc>
      </w:tr>
      <w:tr>
        <w:tc>
          <w:tcPr>
            <w:tcW w:type="dxa" w:w="3288"/>
          </w:tcPr>
          <w:p>
            <w:r/>
            <w:r>
              <w:rPr>
                <w:sz w:val="18"/>
              </w:rPr>
              <w:t>Een toestel verschijnt niet bij ‘Scan Wi-Fi’</w:t>
            </w:r>
          </w:p>
        </w:tc>
        <w:tc>
          <w:tcPr>
            <w:tcW w:type="dxa" w:w="5783"/>
          </w:tcPr>
          <w:p>
            <w:r/>
            <w:r>
              <w:rPr>
                <w:sz w:val="18"/>
              </w:rPr>
              <w:t>Staat de router aan? Staat de zender aan? Ben je binnen bereik? Scan opnieuw.</w:t>
            </w:r>
          </w:p>
        </w:tc>
      </w:tr>
      <w:tr>
        <w:tc>
          <w:tcPr>
            <w:tcW w:type="dxa" w:w="3288"/>
          </w:tcPr>
          <w:p>
            <w:r/>
            <w:r>
              <w:rPr>
                <w:sz w:val="18"/>
              </w:rPr>
              <w:t>Het toestel blijft op ‘Device lost’ staan</w:t>
            </w:r>
          </w:p>
        </w:tc>
        <w:tc>
          <w:tcPr>
            <w:tcW w:type="dxa" w:w="5783"/>
          </w:tcPr>
          <w:p>
            <w:r/>
            <w:r>
              <w:rPr>
                <w:sz w:val="18"/>
              </w:rPr>
              <w:t>Klik opnieuw op ‘Connect’. Helpt dat niet, zet de zender uit en weer aan.</w:t>
            </w:r>
          </w:p>
        </w:tc>
      </w:tr>
      <w:tr>
        <w:tc>
          <w:tcPr>
            <w:tcW w:type="dxa" w:w="3288"/>
          </w:tcPr>
          <w:p>
            <w:r/>
            <w:r>
              <w:rPr>
                <w:sz w:val="18"/>
              </w:rPr>
              <w:t>‘Not zeroed’ verdwijnt niet</w:t>
            </w:r>
          </w:p>
        </w:tc>
        <w:tc>
          <w:tcPr>
            <w:tcW w:type="dxa" w:w="5783"/>
          </w:tcPr>
          <w:p>
            <w:r/>
            <w:r>
              <w:rPr>
                <w:sz w:val="18"/>
              </w:rPr>
              <w:t>De zolen moeten volledig onbelast zijn: vlak op tafel, niets erop, en niet vastgehouden. Probeer opnieuw.</w:t>
            </w:r>
          </w:p>
        </w:tc>
      </w:tr>
      <w:tr>
        <w:tc>
          <w:tcPr>
            <w:tcW w:type="dxa" w:w="3288"/>
          </w:tcPr>
          <w:p>
            <w:r/>
            <w:r>
              <w:rPr>
                <w:sz w:val="18"/>
              </w:rPr>
              <w:t>Bij ‘Configuration’ staat geen of het verkeerde bestand</w:t>
            </w:r>
          </w:p>
        </w:tc>
        <w:tc>
          <w:tcPr>
            <w:tcW w:type="dxa" w:w="5783"/>
          </w:tcPr>
          <w:p>
            <w:r/>
            <w:r>
              <w:rPr>
                <w:sz w:val="18"/>
              </w:rPr>
              <w:t>Ga terug naar ‘Select config file’ en kies links, in de kolom van het toestel, het bestand dat overeenkomt met het label op de zool. Meet niet verder tot dit klopt.</w:t>
            </w:r>
          </w:p>
        </w:tc>
      </w:tr>
      <w:tr>
        <w:tc>
          <w:tcPr>
            <w:tcW w:type="dxa" w:w="3288"/>
          </w:tcPr>
          <w:p>
            <w:r/>
            <w:r>
              <w:rPr>
                <w:sz w:val="18"/>
              </w:rPr>
              <w:t>Het configuratiebestand staat niet in de rechterkolom</w:t>
            </w:r>
          </w:p>
        </w:tc>
        <w:tc>
          <w:tcPr>
            <w:tcW w:type="dxa" w:w="5783"/>
          </w:tcPr>
          <w:p>
            <w:r/>
            <w:r>
              <w:rPr>
                <w:sz w:val="18"/>
              </w:rPr>
              <w:t>Dat hindert de meting niet — de linkerkolom telt. Wil je het bestand toch lokaal, gebruik dan ‘Pick configuration file’ of ‘Import config file’.</w:t>
            </w:r>
          </w:p>
        </w:tc>
      </w:tr>
      <w:tr>
        <w:tc>
          <w:tcPr>
            <w:tcW w:type="dxa" w:w="3288"/>
          </w:tcPr>
          <w:p>
            <w:r/>
            <w:r>
              <w:rPr>
                <w:sz w:val="18"/>
              </w:rPr>
              <w:t>Er staan minder dan 99 actieve cellen</w:t>
            </w:r>
          </w:p>
        </w:tc>
        <w:tc>
          <w:tcPr>
            <w:tcW w:type="dxa" w:w="5783"/>
          </w:tcPr>
          <w:p>
            <w:r/>
            <w:r>
              <w:rPr>
                <w:sz w:val="18"/>
              </w:rPr>
              <w:t>Er zijn sensorcellen uitgeschakeld. Meld dit en meet niet verder.</w:t>
            </w:r>
          </w:p>
        </w:tc>
      </w:tr>
      <w:tr>
        <w:tc>
          <w:tcPr>
            <w:tcW w:type="dxa" w:w="3288"/>
          </w:tcPr>
          <w:p>
            <w:r/>
            <w:r>
              <w:rPr>
                <w:sz w:val="18"/>
              </w:rPr>
              <w:t>Het beeld toont maar één voet</w:t>
            </w:r>
          </w:p>
        </w:tc>
        <w:tc>
          <w:tcPr>
            <w:tcW w:type="dxa" w:w="5783"/>
          </w:tcPr>
          <w:p>
            <w:r/>
            <w:r>
              <w:rPr>
                <w:sz w:val="18"/>
              </w:rPr>
              <w:t>Controleer de connector tussen zool en zender, en of beide toestellen op ‘Ready’ staan.</w:t>
            </w:r>
          </w:p>
        </w:tc>
      </w:tr>
      <w:tr>
        <w:tc>
          <w:tcPr>
            <w:tcW w:type="dxa" w:w="3288"/>
          </w:tcPr>
          <w:p>
            <w:r/>
            <w:r>
              <w:rPr>
                <w:sz w:val="18"/>
              </w:rPr>
              <w:t>Minder dan 12 bruikbare stappen per voet</w:t>
            </w:r>
          </w:p>
        </w:tc>
        <w:tc>
          <w:tcPr>
            <w:tcW w:type="dxa" w:w="5783"/>
          </w:tcPr>
          <w:p>
            <w:r/>
            <w:r>
              <w:rPr>
                <w:sz w:val="18"/>
              </w:rPr>
              <w:t>Laat de deelnemer nog een doorgang lopen en meet opnieuw.</w:t>
            </w:r>
          </w:p>
        </w:tc>
      </w:tr>
      <w:tr>
        <w:tc>
          <w:tcPr>
            <w:tcW w:type="dxa" w:w="3288"/>
          </w:tcPr>
          <w:p>
            <w:r/>
            <w:r>
              <w:rPr>
                <w:sz w:val="18"/>
              </w:rPr>
              <w:t>De batterij valt uit tijdens de meting</w:t>
            </w:r>
          </w:p>
        </w:tc>
        <w:tc>
          <w:tcPr>
            <w:tcW w:type="dxa" w:w="5783"/>
          </w:tcPr>
          <w:p>
            <w:r/>
            <w:r>
              <w:rPr>
                <w:sz w:val="18"/>
              </w:rPr>
              <w:t>De meting is onbruikbaar. Laad op en stel opnieuw nul — en doe dan béide condities over, want na een nieuwe nulstelling staan ze niet meer op dezelfde nullijn.</w:t>
            </w:r>
          </w:p>
        </w:tc>
      </w:tr>
      <w:tr>
        <w:tc>
          <w:tcPr>
            <w:tcW w:type="dxa" w:w="3288"/>
          </w:tcPr>
          <w:p>
            <w:r/>
            <w:r>
              <w:rPr>
                <w:sz w:val="18"/>
              </w:rPr>
              <w:t>De deelnemer bleef halverwege staan</w:t>
            </w:r>
          </w:p>
        </w:tc>
        <w:tc>
          <w:tcPr>
            <w:tcW w:type="dxa" w:w="5783"/>
          </w:tcPr>
          <w:p>
            <w:r/>
            <w:r>
              <w:rPr>
                <w:sz w:val="18"/>
              </w:rPr>
              <w:t>Voor de norm geen probleem: MPP verandert er niet door. Wil je de gemiddelden gebruiken, bakent ‘Set Range’ het wandeldeel af — zie hoofdstuk 11. Lukt dat niet, dan knipt het studieteam de frames er achteraf uit.</w:t>
            </w:r>
          </w:p>
        </w:tc>
      </w:tr>
    </w:tbl>
    <w:p/>
    <w:p>
      <w:r>
        <w:br w:type="page"/>
      </w:r>
    </w:p>
    <w:p>
      <w:pPr>
        <w:keepNext/>
        <w:spacing w:before="0" w:after="80"/>
      </w:pPr>
      <w:r>
        <w:rPr>
          <w:b/>
          <w:sz w:val="24"/>
        </w:rPr>
        <w:t>Nog vast te leggen vóór de opleiding</w:t>
      </w:r>
    </w:p>
    <w:p>
      <w:r>
        <w:rPr>
          <w:b w:val="0"/>
          <w:i/>
          <w:sz w:val="20"/>
        </w:rPr>
        <w:t>De punten hieronder zijn niet gedekt door de schermafbeeldingen, de configuratiebestanden, de cataloog of het protocol. Tot ze beslist zijn, is dit een concept.</w:t>
      </w:r>
    </w:p>
    <w:p>
      <w:pPr>
        <w:ind w:left="397" w:hanging="397"/>
      </w:pPr>
      <w:r>
        <w:rPr>
          <w:b/>
        </w:rPr>
        <w:t xml:space="preserve">1. </w:t>
      </w:r>
      <w:r>
        <w:t>Het masker met de acht regio’s. De programma’s bestaan (hoofdstuk 13), maar het masker zelf is nog niet getekend. Vast te leggen: wie het tekent, op welke referentiezool, en of de acht regio’s van het protocol als percentage van de zoollengte vastliggen of per deelnemer bijgesteld worden.</w:t>
      </w:r>
    </w:p>
    <w:p>
      <w:pPr>
        <w:ind w:left="397" w:hanging="397"/>
      </w:pPr>
      <w:r>
        <w:rPr>
          <w:b/>
        </w:rPr>
        <w:t xml:space="preserve">2. </w:t>
      </w:r>
      <w:r>
        <w:t>Of de waarden die de clinicus op het palet aflas achteraf vervangen worden door de maskerwaarden, of dat beide bewaard blijven — de ene als klinische beslissing, de andere als analysedata.</w:t>
      </w:r>
    </w:p>
    <w:p>
      <w:pPr>
        <w:ind w:left="397" w:hanging="397"/>
      </w:pPr>
      <w:r>
        <w:rPr>
          <w:b/>
        </w:rPr>
        <w:t xml:space="preserve">3. </w:t>
      </w:r>
      <w:r>
        <w:t>Of ‘Set Range’ de waarden herberekent of alleen de grafiek inzoomt. Te toetsen tijdens de droogloop, met één opname die twee keer wordt afgelezen.</w:t>
      </w:r>
    </w:p>
    <w:p>
      <w:pPr>
        <w:ind w:left="397" w:hanging="397"/>
      </w:pPr>
      <w:r>
        <w:rPr>
          <w:b/>
        </w:rPr>
        <w:t xml:space="preserve">4. </w:t>
      </w:r>
      <w:r>
        <w:t>Welke MVP-weergave het studieteam wil voor de secundaire analyses: MVP O, LF of LC. Voor de norm maakt het niet uit, want die gaat op MPP.</w:t>
      </w:r>
    </w:p>
    <w:p>
      <w:pPr>
        <w:ind w:left="397" w:hanging="397"/>
      </w:pPr>
      <w:r>
        <w:rPr>
          <w:b/>
        </w:rPr>
        <w:t xml:space="preserve">5. </w:t>
      </w:r>
      <w:r>
        <w:t>Minimum batterijniveau om aan een meting te beginnen.</w:t>
      </w:r>
    </w:p>
    <w:p>
      <w:pPr>
        <w:ind w:left="397" w:hanging="397"/>
      </w:pPr>
      <w:r>
        <w:rPr>
          <w:b/>
        </w:rPr>
        <w:t xml:space="preserve">6. </w:t>
      </w:r>
      <w:r>
        <w:t>Exportformaat en bestandsnaamgeving, en langs welke weg de meting en de schermafbeeldingen bij het onderzoeksteam raken. Hangt samen met de beslissing over de formulierenroute.</w:t>
      </w:r>
    </w:p>
    <w:p>
      <w:pPr>
        <w:ind w:left="397" w:hanging="397"/>
      </w:pPr>
      <w:r>
        <w:rPr>
          <w:b/>
        </w:rPr>
        <w:t xml:space="preserve">7. </w:t>
      </w:r>
      <w:r>
        <w:t>Of de drie doelregio’s op maand 6, 12 en 18 dezelfde blijven als op visite 2. eCRF 24 is opgesteld voor visite 2 en zegt telkens ‘definieer’, zonder te vermelden of ze overgenomen worden. Voor het volgen van het ontlastende effect over de tijd zou dat wel moeten.</w:t>
      </w:r>
    </w:p>
    <w:p>
      <w:pPr>
        <w:ind w:left="397" w:hanging="397"/>
      </w:pPr>
      <w:r>
        <w:rPr>
          <w:b/>
        </w:rPr>
        <w:t xml:space="preserve">8. </w:t>
      </w:r>
      <w:r>
        <w:t>Wat er gebeurt als een deelnemer maar één paar schoeisel heeft. eCRF 24 voorziet een deel A1 en een deel A2; het formulier zegt niet of het tweede deel dan leeg blijft of vervalt.</w:t>
      </w:r>
    </w:p>
    <w:p>
      <w:pPr>
        <w:ind w:left="397" w:hanging="397"/>
      </w:pPr>
      <w:r>
        <w:rPr>
          <w:b/>
        </w:rPr>
        <w:t xml:space="preserve">9. </w:t>
      </w:r>
      <w:r>
        <w:t>Waar de novel database staat en wie ze beheert. Ze is geïnstalleerd op de onderzoekslaptop maar nog niet aangemaakt. Vast te leggen: één centrale database of één per centrum, welke identificatie in het veld Persons komt — uitsluitend de deelnemerscode — en hoe de back-up loopt.</w:t>
      </w:r>
    </w:p>
    <w:p>
      <w:pPr>
        <w:ind w:left="397" w:hanging="397"/>
      </w:pPr>
      <w:r>
        <w:rPr>
          <w:b/>
        </w:rPr>
        <w:t xml:space="preserve">10. </w:t>
      </w:r>
      <w:r>
        <w:t>Wat te doen als het ook na herhalen niet lukt: een deelnemer die de tien meter niet aan één stuk haalt, of die na drie doorgangen nog geen 12 bruikbare stappen per voet levert. Meten met minder, of noteren als niet meetbaar?</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pedar) ·  Versie [ 1.0 ]  ·  [ 11/09/2026 ]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