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25</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16</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19,20</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19</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21,22</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21,18,23</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21,18,23</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17,24</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24</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19,25</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26</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27</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28</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28</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16,24</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16,24</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29</w:t>
          </w:r>
        </w:sdtContent>
      </w:sdt>
      <w:r w:rsidRPr="00273BD4">
        <w:rPr>
          <w:rFonts w:ascii="Calibri" w:hAnsi="Calibri" w:cs="Calibri"/>
        </w:rPr>
        <w:t xml:space="preserve"> and result in no overall increase in total treatment expenses, while simultaneously enhancing patients’ HRQoL.</w:t>
      </w:r>
    </w:p>
    <w:p>
      <w:pPr>
        <w:pStyle w:val="Kop1"/>
      </w:pPr>
      <w:r>
        <w:t>Glossary of Roles</w:t>
      </w:r>
    </w:p>
    <w:p>
      <w:pPr/>
      <w:r>
        <w:t>For clarity, the following roles are used consistently throughout this protocol:</w:t>
      </w:r>
    </w:p>
    <w:p>
      <w:pPr/>
      <w:r>
        <w:rPr>
          <w:b/>
        </w:rPr>
        <w:t xml:space="preserve">Sponsor: </w:t>
      </w:r>
      <w:r>
        <w:t>KU Leuven, the legal entity responsible for the initiation and management of the study.</w:t>
      </w:r>
    </w:p>
    <w:p>
      <w:pPr/>
      <w:r>
        <w:rPr>
          <w:b/>
        </w:rPr>
        <w:t xml:space="preserve">Coordinating Investigator (CI): </w:t>
      </w:r>
      <w:r>
        <w:t>Prof. Kevin Deschamps. Responsible for supervising the general conduct of the study across all participating sites (study progress, communication, protocol training and support of participating sites, annual reporting to the Ethics Committee).</w:t>
      </w:r>
    </w:p>
    <w:p>
      <w:pPr/>
      <w:r>
        <w:rPr>
          <w:b/>
        </w:rPr>
        <w:t xml:space="preserve">Principal Investigator (PI): </w:t>
      </w:r>
      <w:r>
        <w:t>The lead investigator at each participating Diabetic Foot Clinic (DFC), responsible for the conduct of the study at that site and for protecting the rights, safety and well-being of participants at that site.</w:t>
      </w:r>
    </w:p>
    <w:p>
      <w:pPr/>
      <w:r>
        <w:rPr>
          <w:b/>
        </w:rPr>
        <w:t xml:space="preserve">Investigator: </w:t>
      </w:r>
      <w:r>
        <w:t>Collective term referring to both the PI and the CI (“PI and CI shall each be referred to as ‘Investigator(s)’”, §5.1).</w:t>
      </w:r>
    </w:p>
    <w:p>
      <w:pPr/>
      <w:r>
        <w:rPr>
          <w:b/>
        </w:rPr>
        <w:t xml:space="preserve">PARADISE therapist: </w:t>
      </w:r>
      <w:r>
        <w:t>A healthcare professional delivering the PARADISE intervention at a participating DFC — in practice, a podiatrist, nurse, pedorthist, or physician who is a pre-designated site staff member (eCRF-Document 03/04).</w:t>
      </w:r>
    </w:p>
    <w:p>
      <w:pPr/>
      <w:r>
        <w:rPr>
          <w:b/>
        </w:rPr>
        <w:t xml:space="preserve">Podiatrist: </w:t>
      </w:r>
      <w:r>
        <w:t>Site staff member responsible for foot and footwear screening, education, and adherence follow-up.</w:t>
      </w:r>
    </w:p>
    <w:p>
      <w:pPr/>
      <w:r>
        <w:rPr>
          <w:b/>
        </w:rPr>
        <w:t xml:space="preserve">Pedorthist: </w:t>
      </w:r>
      <w:r>
        <w:t>Certified professional responsible for manufacturing and fitting the custom-made foot orthosis (CMFO).</w:t>
      </w:r>
    </w:p>
    <w:p>
      <w:pPr/>
      <w:r>
        <w:rPr>
          <w:b/>
        </w:rPr>
        <w:t xml:space="preserve">Physician / treating physician / diabetologist: </w:t>
      </w:r>
      <w:r>
        <w:t>Medical doctor at the participating site (e.g. diabetologist, vascular surgeon) responsible for medical evaluation, safety oversight, and clinical decision-making.</w:t>
      </w:r>
    </w:p>
    <w:p>
      <w:pPr/>
      <w:r>
        <w:rPr>
          <w:b/>
        </w:rPr>
        <w:t xml:space="preserve">Footwear technician: </w:t>
      </w:r>
      <w:r>
        <w:t>Site staff member involved in the technical aspects of footwear fitting and adjustment.</w:t>
      </w:r>
    </w:p>
    <w:p>
      <w:pPr/>
      <w:r>
        <w:rPr>
          <w:b/>
        </w:rPr>
        <w:t xml:space="preserve">Care pathway lead: </w:t>
      </w:r>
      <w:r>
        <w:t>Local staff member at each participating site responsible for the organisational implementation of the PARADISE care pathway; considered, together with the site PI, an organisational stakeholder in the process evaluation (§5.6/§7.1).</w:t>
      </w:r>
    </w:p>
    <w:p>
      <w:pPr/>
      <w:r>
        <w:rPr>
          <w:b/>
        </w:rPr>
        <w:t xml:space="preserve">Research team / study team: </w:t>
      </w:r>
      <w:r>
        <w:t>The PARADISE research staff (including the PhD students, see below) responsible for F-Scan GO measurements, data collection, and overall trial coordination — distinct from site personnel who deliver routine clinical care.</w:t>
      </w:r>
    </w:p>
    <w:p>
      <w:pPr/>
      <w:r>
        <w:rPr>
          <w:b/>
        </w:rPr>
        <w:t xml:space="preserve">PhD student: </w:t>
      </w:r>
      <w:r>
        <w:t>One of the two doctoral researchers supporting trial conduct, recruitment, and data collection as part of the research team (§4.2, §5.2.2).</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26</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24,</w:t>
          </w:r>
          <w:r w:rsidR="00B353D0" w:rsidRPr="6898190B">
            <w:rPr>
              <w:rFonts w:ascii="Calibri" w:hAnsi="Calibri" w:cs="Calibri"/>
              <w:color w:val="000000" w:themeColor="text1"/>
              <w:vertAlign w:val="superscript"/>
            </w:rPr>
            <w:t/>
          </w:r>
          <w:r w:rsidR="00B353D0">
            <w:rPr>
              <w:rFonts w:ascii="Calibri" w:hAnsi="Calibri" w:cs="Calibri"/>
              <w:color w:val="000000" w:themeColor="text1"/>
              <w:vertAlign w:val="superscript"/>
            </w:rPr>
            <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17,24</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30</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30</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18</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31</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32</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33</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the time required for healing (tracked using eCRF-Document 47: Ulcus-vervolgformulier), occurrence of infection (classified using PEDIS/WIfI; eCRF-Document 36/38), and occurrence of major (above-ankle) or minor (below-ankle) amputation (captured via adverse 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38</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18</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25</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19,25</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16</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32</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37</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39</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r w:rsidRPr="001A7EEE">
        <w:rPr>
          <w:rStyle w:val="whitespace-normal"/>
          <w:rFonts w:ascii="Calibri" w:hAnsi="Calibri" w:cs="Calibri"/>
          <w:sz w:val="22"/>
          <w:szCs w:val="22"/>
        </w:rPr>
      </w:r>
      <w:r w:rsidRPr="001A7EEE">
        <w:rPr>
          <w:rFonts w:ascii="Calibri" w:hAnsi="Calibri" w:cs="Calibri"/>
          <w:sz w:val="22"/>
          <w:szCs w:val="22"/>
        </w:rPr>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eCRF-Document 46 (AE/SAE Report Form).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eCRF-Document 46 (AE/SAE Report Form).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r>
        <w:rPr>
          <w:color w:val="000000"/>
        </w:rPr>
        <w:t>1. Whiting DR, Guariguata L, Weil C, et al. IDF diabetes atlas: global estimates of the prevalence of diabetes for 2011 and 2030. Diabetes research and clinical practice. 2011;94(3):311-21. doi:10.1016/j.diabres.2011.10.029</w:t>
      </w:r>
    </w:p>
    <w:p>
      <w:r>
        <w:rPr>
          <w:color w:val="000000"/>
        </w:rPr>
        <w:t>2. Ragnarson T, Apelqvist J. Health-related quality of life in patients with diabetes mellitus and foot ulcers. J. Diabetes Complications. 2000;14(5):235-241.</w:t>
      </w:r>
    </w:p>
    <w:p>
      <w:r>
        <w:rPr>
          <w:color w:val="000000"/>
        </w:rPr>
        <w:t>3. Apelqvist J, Bakker K, van Houtum WH, et al. Practical guidelines on the management and prevention of the diabetic foot: based upon the International Consensus on the Diabetic Foot (2007). Diabetes Metab Res Rev. 2008;24(Suppl 1):S181-S187. doi:10.1002/dmrr.848</w:t>
      </w:r>
    </w:p>
    <w:p>
      <w:r>
        <w:rPr>
          <w:color w:val="000000"/>
        </w:rPr>
        <w:t>4. Zhang Y, Lazzarini P, McPhail S, et al. Global Disability Burdens of Diabetes-Related Lower-Extremity Complications in 1990 and 2016. Diabetes Care. 2020;43:964-974.</w:t>
      </w:r>
    </w:p>
    <w:p>
      <w:r>
        <w:rPr>
          <w:color w:val="000000"/>
        </w:rPr>
        <w:t>5. Armstrong D, Boulton A, Bus S. Diabetic Foot Ulcers and Their Recurrence. N. Engl. J. Med. 2017;376:2367-2375.</w:t>
      </w:r>
    </w:p>
    <w:p>
      <w:r>
        <w:rPr>
          <w:color w:val="000000"/>
        </w:rPr>
        <w:t>6. Tchero H, Kangambega P, Lin L, et al. Cost of diabetic foot in France, Spain, Italy, Germany and United Kingdom: A systematic review. Annales d'Endocrinologie. 2018;79(2):67-74. doi:10.1016/j.ando.2017.11.005</w:t>
      </w:r>
    </w:p>
    <w:p>
      <w:r>
        <w:rPr>
          <w:color w:val="000000"/>
        </w:rPr>
        <w:t>7. Acker K, Oleen-Burkey M, Decker L, et al. Cost and resource utilization for prevention and treatment of foot lesions in a diabetic foot clinic in Belgium. Diabetes Research and Clinical Practice. 2000;50. www.elsevier.com/locate/diabres</w:t>
      </w:r>
    </w:p>
    <w:p>
      <w:r>
        <w:rPr>
          <w:color w:val="000000"/>
        </w:rPr>
        <w:t>8. Netten J, Raspovic A, Lavery L, et al. Prevention of foot ulcers in the at-risk patient with diabetes: A systematic review. Diabetes Metab. Res. Rev. 2020;36:e3270.</w:t>
      </w:r>
    </w:p>
    <w:p>
      <w:r>
        <w:rPr>
          <w:color w:val="000000"/>
        </w:rPr>
        <w:t>9. Netten JJ, Bus SA, Apelqvist J, et al. Definitions and criteria for diabetes-related foot disease (IWGDF 2023 update). Diabetes/Metabolism Research and Reviews. 2024;40(3). doi:10.1002/dmrr.3654</w:t>
      </w:r>
    </w:p>
    <w:p>
      <w:r>
        <w:rPr>
          <w:color w:val="000000"/>
        </w:rPr>
        <w:t>10. Doggen K, Acker K, Beele H, et al. Implementation of a quality improvement initiative in Belgian diabetic foot clinic: feasability and initial results. Diabetes/Metabolism Research and Reviews. 2014;30(5):435-443.</w:t>
      </w:r>
    </w:p>
    <w:p>
      <w:r>
        <w:rPr>
          <w:color w:val="000000"/>
        </w:rPr>
        <w:t>11. Albright RH, Manohar NB, Murillo JF, et al. Effectiveness of multidisciplinary care teams in reducing major amputation rate in adults with diabetes: a systematic review &amp; meta-analysis. Diabetes Research and Clinical Practice. 2020;161(107996).</w:t>
      </w:r>
    </w:p>
    <w:p>
      <w:r>
        <w:rPr>
          <w:color w:val="000000"/>
        </w:rPr>
        <w:t>12. Todorova K, Buyle M, Vanherwegen A, et al. Initiatief voor Kwaliteitsbevordering en Epidemiologie bij Multidisciplinaire Diabetes Voetklinieken (IKED-Voet). Resultaten van de 8de gegevensverzameling (auditjaren 2022-2023). 2025.</w:t>
      </w:r>
    </w:p>
    <w:p>
      <w:r>
        <w:rPr>
          <w:color w:val="000000"/>
        </w:rPr>
        <w:t>13. Barn R, Waaijman R, Nollet F, et al. Predictors of barefoot plantar pressure during walking in patients with diabetes, peripheral neuropathy and a history of ulceration. Plos One. 2015;10(2).</w:t>
      </w:r>
    </w:p>
    <w:p>
      <w:r>
        <w:rPr>
          <w:color w:val="000000"/>
        </w:rPr>
        <w:t>14. Fernando M, Crowther R, Pappas E, et al. Plantar pressure in diabetic peripheral neuropathy patients with active foot ulceration, previous ulceration and no history of ulceration: a meta-analysis of observational studies. PLoS One. 2014;9(6).</w:t>
      </w:r>
    </w:p>
    <w:p>
      <w:r>
        <w:rPr>
          <w:color w:val="000000"/>
        </w:rPr>
        <w:t>15. Bus S, Netten J, Hinchliffe R, et al. Standards for the development and methodology of the 2019 International Working Group on the Diabetic Foot guidelines. Diabetes Metab Res Rev. 2020;36.</w:t>
      </w:r>
    </w:p>
    <w:p>
      <w:r>
        <w:rPr>
          <w:color w:val="000000"/>
        </w:rPr>
        <w:t>16. Bus SA, Zwaferink JB, Dahmen R, et al. State of the art design protocol for custom made footwear for people with diabetes and peripheral neuropathy. Diabetes/Metabolism Research and Reviews. 2020;36(S1). doi:10.1002/dmrr.3237</w:t>
      </w:r>
    </w:p>
    <w:p>
      <w:r>
        <w:rPr>
          <w:color w:val="000000"/>
        </w:rPr>
        <w:t>17. Keukenkamp R, Netten JJ, Busch-Westbroek TE, et al. Custom-made footwear designed for indoor use increases short-term and long-term adherence in people with diabetes at high ulcer risk. BMJ Open Diabetes Research and Care. 2022;10(1). doi:10.1136/bmjdrc-2021-002593</w:t>
      </w:r>
    </w:p>
    <w:p>
      <w:r>
        <w:rPr>
          <w:color w:val="000000"/>
        </w:rPr>
        <w:t>18. Zwaferink JBJ, Nollet F, Bus SA. In-Shoe Pressure Measurements in Diabetic Footwear Practice: Success Rate and Facilitators of and Barriers to Implementation. Sensors. 2024;24(6). doi:10.3390/s24061795</w:t>
      </w:r>
    </w:p>
    <w:p>
      <w:r>
        <w:rPr>
          <w:color w:val="000000"/>
        </w:rPr>
        <w:t>19. National Institute for Health and Care Excellence (NICE). Diabetic foot problems: prevention and management. NICE guideline NG19. 2015. https://www.nice.org.uk/guidance/ng19</w:t>
      </w:r>
    </w:p>
    <w:p>
      <w:r>
        <w:rPr>
          <w:color w:val="000000"/>
        </w:rPr>
        <w:t>20. Lopes GSG, Landeiro MJL, Maciel T, et al. Clinical practice guidelines of foot care practice for patients with type 2 diabetes: A scoping review using self-care model. Contemporary Nurse. 2024;60(5):516-536. doi:10.1080/10376178.2024.2362289</w:t>
      </w:r>
    </w:p>
    <w:p>
      <w:r>
        <w:rPr>
          <w:color w:val="000000"/>
        </w:rPr>
        <w:t>21. Lutjeboer T, Netten J, Postema K, et al. Validity and feasibility of a temperature sensor for measuring use and non-use of orthopaedic footwear. J Rehabil Med. 2018;50:920-926.</w:t>
      </w:r>
    </w:p>
    <w:p>
      <w:r>
        <w:rPr>
          <w:color w:val="000000"/>
        </w:rPr>
        <w:t>22. Maas J, Dallmeijer A, Oudshoorn B, et al. Measuring wearing time of knee-ankle-foot orthoses in children with cerebral palsy: comparison of parent-report and objective measurement. Disability and Rehabilitation. 2018;40(4):398-403.</w:t>
      </w:r>
    </w:p>
    <w:p>
      <w:r>
        <w:rPr>
          <w:color w:val="000000"/>
        </w:rPr>
        <w:t>23. Menz H, Bonnano D. Objective measurement of adherence to wearing foot orthoses using an embedded temperature sensor. Medical Engineering and physics. 2021;88:19-24.</w:t>
      </w:r>
    </w:p>
    <w:p>
      <w:r>
        <w:rPr>
          <w:color w:val="000000"/>
        </w:rPr>
        <w:t>24. Bus S, Waaijman R, Arts M, et al. Effect of custom-made footwear on foot ulcer recurrence in diabetes: a multicenter randomized controlled trial. Diabetes Care. 2013;36:4109-4116. doi:10.2337/dc13-0996</w:t>
      </w:r>
    </w:p>
    <w:p>
      <w:r>
        <w:rPr>
          <w:color w:val="000000"/>
        </w:rPr>
        <w:t>25. Bus SA, Sacco ICN, Monteiro-Soares M, et al. Guidelines on the prevention of foot ulcers in persons with diabetes (IWGDF 2023 update). Diabetes Metab Res Rev. 2024;40(3):e3651. doi:10.1002/dmrr.3651</w:t>
      </w:r>
    </w:p>
    <w:p>
      <w:r>
        <w:rPr>
          <w:color w:val="000000"/>
        </w:rPr>
        <w:t>26. Netten JJ, Raspovic A, Lavery LA, et al. Prevention of foot ulcers in persons with diabetes at risk of ulceration: A systematic review and meta-analysis. Diabetes/Metabolism Research and Reviews. 2024;40(3). doi:10.1002/dmrr.3652</w:t>
      </w:r>
    </w:p>
    <w:p>
      <w:r>
        <w:rPr>
          <w:color w:val="000000"/>
        </w:rPr>
        <w:t>27. Jarl G, Netten J, Lazzarini P. Fragile Feet and Trivial Trauma. Journal of the American Podiatric Medical Association. 2023;113(1).</w:t>
      </w:r>
    </w:p>
    <w:p>
      <w:r>
        <w:rPr>
          <w:color w:val="000000"/>
        </w:rPr>
        <w:t>28. Michie S, van Stralen M, West R. The behaviour change wheel: a new method for characterising and designing behaviour change interventions. Implement Sci. 2011;6:42. doi:10.1186/1748-5908-6-42</w:t>
      </w:r>
    </w:p>
    <w:p>
      <w:r>
        <w:rPr>
          <w:color w:val="000000"/>
        </w:rPr>
        <w:t>29. Perrin BM, Netten JJ, aan de Stegge WB, et al. Health-related quality of life and associated factors in people with diabetes at high risk of foot ulceration. Journal of Foot and Ankle Research. 2022;15(1). doi:10.1186/s13047-022-00586-9</w:t>
      </w:r>
    </w:p>
    <w:p>
      <w:r>
        <w:rPr>
          <w:color w:val="000000"/>
        </w:rPr>
        <w:t>30. Netten J. Prevention of foot ulcers in the at-risk patient with diabetes: a systematic review. Diabetes Metab Research. 2016;32(1):84-98.</w:t>
      </w:r>
    </w:p>
    <w:p>
      <w:r>
        <w:rPr>
          <w:color w:val="000000"/>
        </w:rPr>
        <w:t>31. Dahmen R, Siemonsma PC, Monteiro S, et al. Evaluation of the wear-and-tear scale for therapeutic footwear, results of a generalizability study. J Rehabil Med. 2018:569-574. doi:10.2340/16501977-2339</w:t>
      </w:r>
    </w:p>
    <w:p>
      <w:r>
        <w:rPr>
          <w:color w:val="000000"/>
        </w:rPr>
        <w:t>32. Lincoln NB, Jeffcoate WJ, Ince P, et al. Validation of a new measure of protective footcare behaviour: The Nottingham Assessment of Functional Footcare (NAFF). Practical Diabetes International. 2007;24(4):207-211. doi:10.1002/pdi.1099</w:t>
      </w:r>
    </w:p>
    <w:p>
      <w:r>
        <w:rPr>
          <w:color w:val="000000"/>
        </w:rPr>
        <w:t>33. Hakkaart-Van Roijen L, Peeters S, Kanters T. Kostenhandleiding voor economische evaluaties in de gezondheidszorg: Methodologie en Referentieprijzen In opdracht van Zorginstituut Nederland.</w:t>
      </w:r>
    </w:p>
    <w:p>
      <w:r>
        <w:rPr>
          <w:color w:val="000000"/>
        </w:rPr>
        <w:t>34. Jeffcoate WJ, Bus SA, Game FL, et al. Reporting standards of studies and papers on the prevention and management of foot ulcers in diabetes: required details and markers of good quality. The Lancet Diabetes and Endocrinology. 2016;4(9):781-788. doi:10.1016/S2213-8587(16)30012-2</w:t>
      </w:r>
    </w:p>
    <w:p>
      <w:r>
        <w:rPr>
          <w:color w:val="000000"/>
        </w:rPr>
        <w:t>35. Monteiro-Soares M, Hamilton EJ, Russell DA, et al. Guidelines on the classification of foot ulcers in people with diabetes (IWGDF 2023 update). Diabetes/Metabolism Research and Reviews. 2024;40(3). doi:10.1002/dmrr.3648</w:t>
      </w:r>
    </w:p>
    <w:p>
      <w:r>
        <w:rPr>
          <w:color w:val="000000"/>
        </w:rPr>
        <w:t>36. Sørensen K, Broucke S, Pelikan JM, et al. Measuring health literacy in populations: Illuminating the design and development process of the European Health Literacy Survey Questionnaire (HLS-EU-Q). BMC Public Health. 2013;13(1). doi:10.1186/1471-2458-13-948</w:t>
      </w:r>
    </w:p>
    <w:p>
      <w:r>
        <w:rPr>
          <w:color w:val="000000"/>
        </w:rPr>
        <w:t>37. Netten JJ, Hijmans JH, Jannink MJA, et al. Development and reproducibility of a short questionnaire to measure use and usability of custom-made orthopaedic shoes. J Rehabil Med. 2009;41:913-918.</w:t>
      </w:r>
    </w:p>
    <w:p>
      <w:r>
        <w:rPr>
          <w:color w:val="000000"/>
        </w:rPr>
        <w:t>38. Staniszewska A, Game F, Nixon J, et al. Development of a core outcome set for studies assessing interventions for diabetes-related foot ulceration. Diabetes Care. 2024;47(11):1958-1968. doi:10.2337/dc24-1112</w:t>
      </w:r>
    </w:p>
    <w:p>
      <w:r>
        <w:rPr>
          <w:color w:val="000000"/>
        </w:rPr>
        <w:t>39. Staniszewska A, Jones A, Davies L, et al. Development of a core descriptor set for studies assessing interventions for diabetes-related foot ulceration. Diabetologia. 2026. doi:10.1007/s00125-026-06815-1</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