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68F48973">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17505" w:rsidRDefault="0070738C" w:rsidP="00434E0F">
      <w:pPr>
        <w:rPr>
          <w:rFonts w:ascii="Calibri" w:hAnsi="Calibri" w:cs="Calibri"/>
          <w:sz w:val="24"/>
          <w:szCs w:val="32"/>
          <w:lang w:val="fr-FR"/>
        </w:rPr>
      </w:pPr>
      <w:r w:rsidRPr="00317505">
        <w:rPr>
          <w:rFonts w:ascii="Calibri" w:hAnsi="Calibri" w:cs="Calibri"/>
          <w:b/>
          <w:sz w:val="24"/>
          <w:szCs w:val="32"/>
          <w:lang w:val="fr-FR"/>
        </w:rPr>
        <w:t>Clinical Site subinvestigators</w:t>
      </w:r>
    </w:p>
    <w:p w14:paraId="07B31886" w14:textId="6A93C949" w:rsidR="0070738C" w:rsidRPr="00317505" w:rsidRDefault="0070738C" w:rsidP="0070738C">
      <w:pPr>
        <w:spacing w:after="0" w:line="240" w:lineRule="auto"/>
        <w:rPr>
          <w:rFonts w:ascii="Calibri" w:hAnsi="Calibri" w:cs="Calibri"/>
          <w:sz w:val="24"/>
          <w:szCs w:val="32"/>
          <w:lang w:val="fr-FR"/>
        </w:rPr>
      </w:pPr>
      <w:r w:rsidRPr="00317505">
        <w:rPr>
          <w:rFonts w:ascii="Calibri" w:hAnsi="Calibri" w:cs="Calibri"/>
          <w:szCs w:val="32"/>
          <w:lang w:val="fr-FR"/>
        </w:rPr>
        <w:t>Prof. Giovanni Matricali</w:t>
      </w:r>
      <w:r w:rsidRPr="00317505">
        <w:rPr>
          <w:rFonts w:ascii="Calibri" w:hAnsi="Calibri" w:cs="Calibri"/>
          <w:szCs w:val="32"/>
          <w:lang w:val="fr-FR"/>
        </w:rPr>
        <w:tab/>
      </w:r>
      <w:r w:rsidRPr="00317505">
        <w:rPr>
          <w:rFonts w:ascii="Calibri" w:hAnsi="Calibri" w:cs="Calibri"/>
          <w:sz w:val="24"/>
          <w:szCs w:val="32"/>
          <w:lang w:val="fr-FR"/>
        </w:rPr>
        <w:tab/>
      </w:r>
      <w:r w:rsidRPr="00317505">
        <w:rPr>
          <w:rFonts w:ascii="Calibri" w:hAnsi="Calibri" w:cs="Calibri"/>
          <w:sz w:val="24"/>
          <w:szCs w:val="32"/>
          <w:lang w:val="fr-FR"/>
        </w:rPr>
        <w:tab/>
        <w:t>______________________</w:t>
      </w:r>
      <w:r w:rsidRPr="00317505">
        <w:rPr>
          <w:rFonts w:ascii="Calibri" w:hAnsi="Calibri" w:cs="Calibri"/>
          <w:sz w:val="24"/>
          <w:szCs w:val="32"/>
          <w:lang w:val="fr-FR"/>
        </w:rPr>
        <w:tab/>
      </w:r>
      <w:r w:rsidRPr="00317505">
        <w:rPr>
          <w:rFonts w:ascii="Calibri" w:hAnsi="Calibri" w:cs="Calibri"/>
          <w:sz w:val="24"/>
          <w:szCs w:val="32"/>
          <w:lang w:val="fr-FR"/>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b w:val="0"/>
              </w:rPr>
              <w:t xml:space="preserve">The </w:t>
            </w:r>
            <w:r w:rsidRPr="00273BD4">
              <w:rPr>
                <w:rFonts w:ascii="Calibri" w:hAnsi="Calibri" w:cs="Calibri"/>
                <w:b/>
                <w:bCs/>
              </w:rPr>
              <w:t>primary endpoint</w:t>
            </w:r>
            <w:r w:rsidR="008D5F13" w:rsidRPr="00273BD4">
              <w:rPr>
                <w:rFonts w:ascii="Calibri" w:hAnsi="Calibri" w:cs="Calibri"/>
                <w:b w:val="0"/>
              </w:rPr>
              <w:t xml:space="preserve"> is the incidence of foot ulceration over an 18-month follow-up period. The </w:t>
            </w:r>
            <w:r w:rsidRPr="00273BD4">
              <w:rPr>
                <w:rFonts w:ascii="Calibri" w:hAnsi="Calibri" w:cs="Calibri"/>
                <w:b/>
              </w:rPr>
              <w:t>secondary endpoints</w:t>
            </w:r>
            <w:r w:rsidR="008D5F13" w:rsidRPr="00273BD4">
              <w:rPr>
                <w:rFonts w:ascii="Calibri" w:hAnsi="Calibri" w:cs="Calibri"/>
                <w:b w:val="0"/>
              </w:rPr>
              <w:t xml:space="preserve"> are: footwear adherence to prescribed protective footwear, assessed every 3 months up to 18 months, which also serves as the pre-specified mediator; cost-effectiveness of the PARADISE intervention compared with usual care over the 18-month follow-up period; and process evaluation outcomes related to implementation, including fidelity, dose, reach, adaptations, and quality of delivery, assessed longitudinally throughout the study.</w:t>
            </w:r>
            <w:r w:rsidRPr="00273BD4">
              <w:rPr>
                <w:rFonts w:ascii="Calibri" w:hAnsi="Calibri" w:cs="Calibri"/>
              </w:rPr>
            </w:r>
            <w:r w:rsidR="008D5F13" w:rsidRPr="00273BD4">
              <w:rPr>
                <w:rFonts w:ascii="Calibri" w:hAnsi="Calibri" w:cs="Calibri"/>
              </w:rPr>
            </w:r>
            <w:r w:rsidRPr="00273BD4">
              <w:rPr>
                <w:rFonts w:ascii="Calibri" w:hAnsi="Calibri" w:cs="Calibri"/>
              </w:rPr>
            </w:r>
            <w:r w:rsidRPr="00273BD4">
              <w:rPr>
                <w:rFonts w:ascii="Calibri" w:hAnsi="Calibri" w:cs="Calibri"/>
                <w:b/>
                <w:bCs/>
              </w:rPr>
            </w:r>
            <w:r w:rsidRPr="00273BD4">
              <w:rPr>
                <w:rFonts w:ascii="Calibri" w:hAnsi="Calibri" w:cs="Calibri"/>
              </w:rPr>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(including the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 or refuse the adherence sensor (Orthotimer) embedded in the orthosis</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0C1B87C1" w14:textId="40C8A762" w:rsidR="00755E38" w:rsidRPr="00755E38" w:rsidRDefault="00373F1E" w:rsidP="00755E38">
      <w:pPr>
        <w:pStyle w:val="Kop1"/>
        <w:rPr>
          <w:rFonts w:cs="Calibri"/>
          <w:sz w:val="28"/>
          <w:szCs w:val="28"/>
        </w:rPr>
      </w:pPr>
      <w:r w:rsidRPr="00273BD4">
        <w:rPr>
          <w:rFonts w:cs="Calibri"/>
          <w:sz w:val="28"/>
        </w:rPr>
        <w:br w:type="page"/>
      </w:r>
      <w:r w:rsidR="00755E38">
        <w:rPr>
          <w:rFonts w:cs="Calibri"/>
          <w:sz w:val="28"/>
        </w:rPr>
        <w:lastRenderedPageBreak/>
        <w:t xml:space="preserve">1.1 </w:t>
      </w:r>
      <w:r w:rsidR="00755E38" w:rsidRPr="00755E38">
        <w:rPr>
          <w:rFonts w:cs="Calibri"/>
          <w:sz w:val="28"/>
          <w:szCs w:val="28"/>
        </w:rPr>
        <w:t>Glossary of Roles</w:t>
      </w:r>
    </w:p>
    <w:p w14:paraId="1733ADAA" w14:textId="77777777" w:rsidR="00755E38" w:rsidRPr="00755E38" w:rsidRDefault="00755E38" w:rsidP="00755E38">
      <w:pPr>
        <w:rPr>
          <w:rFonts w:ascii="Calibri" w:hAnsi="Calibri" w:cs="Calibri"/>
        </w:rPr>
      </w:pPr>
      <w:r w:rsidRPr="00755E38">
        <w:rPr>
          <w:rFonts w:ascii="Calibri" w:hAnsi="Calibri" w:cs="Calibri"/>
        </w:rPr>
        <w:t>For clarity, the following roles are used consistently throughout this protocol:</w:t>
      </w:r>
    </w:p>
    <w:p w14:paraId="349A0F3A" w14:textId="77777777" w:rsidR="00755E38" w:rsidRPr="00755E38" w:rsidRDefault="00755E38" w:rsidP="00755E38">
      <w:pPr>
        <w:rPr>
          <w:rFonts w:ascii="Calibri" w:hAnsi="Calibri" w:cs="Calibri"/>
        </w:rPr>
      </w:pPr>
      <w:r w:rsidRPr="00755E38">
        <w:rPr>
          <w:rFonts w:ascii="Calibri" w:hAnsi="Calibri" w:cs="Calibri"/>
          <w:b/>
        </w:rPr>
        <w:t xml:space="preserve">Sponsor: </w:t>
      </w:r>
      <w:r w:rsidRPr="00755E38">
        <w:rPr>
          <w:rFonts w:ascii="Calibri" w:hAnsi="Calibri" w:cs="Calibri"/>
        </w:rPr>
        <w:t>KU Leuven, the legal entity responsible for the initiation and management of the study.</w:t>
      </w:r>
    </w:p>
    <w:p w14:paraId="1546EDF4" w14:textId="77777777" w:rsidR="00755E38" w:rsidRPr="00755E38" w:rsidRDefault="00755E38" w:rsidP="00755E38">
      <w:pPr>
        <w:rPr>
          <w:rFonts w:ascii="Calibri" w:hAnsi="Calibri" w:cs="Calibri"/>
        </w:rPr>
      </w:pPr>
      <w:r w:rsidRPr="00755E38">
        <w:rPr>
          <w:rFonts w:ascii="Calibri" w:hAnsi="Calibri" w:cs="Calibri"/>
          <w:b/>
        </w:rPr>
        <w:t xml:space="preserve">Coordinating Investigator (CI): </w:t>
      </w:r>
      <w:r w:rsidRPr="00755E38">
        <w:rPr>
          <w:rFonts w:ascii="Calibri" w:hAnsi="Calibri" w:cs="Calibri"/>
        </w:rPr>
        <w:t>Prof. Kevin Deschamps. Responsible for supervising the general conduct of the study across all participating sites (study progress, communication, protocol training and support of participating sites, annual reporting to the Ethics Committee).</w:t>
      </w:r>
    </w:p>
    <w:p w14:paraId="5D2360DC" w14:textId="77777777" w:rsidR="00755E38" w:rsidRPr="00755E38" w:rsidRDefault="00755E38" w:rsidP="00755E38">
      <w:pPr>
        <w:rPr>
          <w:rFonts w:ascii="Calibri" w:hAnsi="Calibri" w:cs="Calibri"/>
        </w:rPr>
      </w:pPr>
      <w:r w:rsidRPr="00755E38">
        <w:rPr>
          <w:rFonts w:ascii="Calibri" w:hAnsi="Calibri" w:cs="Calibri"/>
          <w:b/>
        </w:rPr>
        <w:t xml:space="preserve">Principal Investigator (PI): </w:t>
      </w:r>
      <w:r w:rsidRPr="00755E38">
        <w:rPr>
          <w:rFonts w:ascii="Calibri" w:hAnsi="Calibri" w:cs="Calibri"/>
        </w:rPr>
        <w:t>The lead investigator at each participating Diabetic Foot Clinic (DFC), responsible for the conduct of the study at that site and for protecting the rights, safety and well-being of participants at that site.</w:t>
      </w:r>
    </w:p>
    <w:p w14:paraId="3147D31B" w14:textId="77777777" w:rsidR="00755E38" w:rsidRPr="00755E38" w:rsidRDefault="00755E38" w:rsidP="00755E38">
      <w:pPr>
        <w:rPr>
          <w:rFonts w:ascii="Calibri" w:hAnsi="Calibri" w:cs="Calibri"/>
        </w:rPr>
      </w:pPr>
      <w:r w:rsidRPr="00755E38">
        <w:rPr>
          <w:rFonts w:ascii="Calibri" w:hAnsi="Calibri" w:cs="Calibri"/>
          <w:b/>
        </w:rPr>
        <w:t xml:space="preserve">Investigator: </w:t>
      </w:r>
      <w:r w:rsidRPr="00755E38">
        <w:rPr>
          <w:rFonts w:ascii="Calibri" w:hAnsi="Calibri" w:cs="Calibri"/>
        </w:rPr>
        <w:t>Collective term referring to both the PI and the CI.</w:t>
      </w:r>
    </w:p>
    <w:p w14:paraId="2B7A7DF7" w14:textId="77777777" w:rsidR="00755E38" w:rsidRPr="00755E38" w:rsidRDefault="00755E38" w:rsidP="00755E38">
      <w:pPr>
        <w:rPr>
          <w:rFonts w:ascii="Calibri" w:hAnsi="Calibri" w:cs="Calibri"/>
        </w:rPr>
      </w:pPr>
      <w:r w:rsidRPr="00755E38">
        <w:rPr>
          <w:rFonts w:ascii="Calibri" w:hAnsi="Calibri" w:cs="Calibri"/>
          <w:b/>
        </w:rPr>
        <w:t xml:space="preserve">PARADISE therapist: </w:t>
      </w:r>
      <w:r w:rsidRPr="00755E38">
        <w:rPr>
          <w:rFonts w:ascii="Calibri" w:hAnsi="Calibri" w:cs="Calibri"/>
        </w:rPr>
        <w:t>A healthcare professional delivering the PARADISE intervention at a participating DFC, in practice, a podiatrist, nurse, pedorthist, or physician who is a pre-designated site staff member (eCRF-Document 03/04).</w:t>
      </w:r>
    </w:p>
    <w:p w14:paraId="153F2754" w14:textId="77777777" w:rsidR="00755E38" w:rsidRPr="00755E38" w:rsidRDefault="00755E38" w:rsidP="00755E38">
      <w:pPr>
        <w:rPr>
          <w:rFonts w:ascii="Calibri" w:hAnsi="Calibri" w:cs="Calibri"/>
        </w:rPr>
      </w:pPr>
      <w:r w:rsidRPr="00755E38">
        <w:rPr>
          <w:rFonts w:ascii="Calibri" w:hAnsi="Calibri" w:cs="Calibri"/>
          <w:b/>
        </w:rPr>
        <w:t xml:space="preserve">Podiatrist: </w:t>
      </w:r>
      <w:r w:rsidRPr="00755E38">
        <w:rPr>
          <w:rFonts w:ascii="Calibri" w:hAnsi="Calibri" w:cs="Calibri"/>
        </w:rPr>
        <w:t>Site staff member responsible for foot and footwear screening, education, and adherence follow-up.</w:t>
      </w:r>
    </w:p>
    <w:p w14:paraId="32D476A4" w14:textId="77777777" w:rsidR="00755E38" w:rsidRPr="00755E38" w:rsidRDefault="00755E38" w:rsidP="00755E38">
      <w:pPr>
        <w:rPr>
          <w:rFonts w:ascii="Calibri" w:hAnsi="Calibri" w:cs="Calibri"/>
        </w:rPr>
      </w:pPr>
      <w:r w:rsidRPr="00755E38">
        <w:rPr>
          <w:rFonts w:ascii="Calibri" w:hAnsi="Calibri" w:cs="Calibri"/>
          <w:b/>
        </w:rPr>
        <w:t xml:space="preserve">Pedorthist: </w:t>
      </w:r>
      <w:r w:rsidRPr="00755E38">
        <w:rPr>
          <w:rFonts w:ascii="Calibri" w:hAnsi="Calibri" w:cs="Calibri"/>
        </w:rPr>
        <w:t>Certified professional responsible for manufacturing and fitting the custom-made foot orthosis (CMFO).</w:t>
      </w:r>
    </w:p>
    <w:p w14:paraId="1BD8431A" w14:textId="77777777" w:rsidR="00755E38" w:rsidRPr="00755E38" w:rsidRDefault="00755E38" w:rsidP="00755E38">
      <w:pPr>
        <w:rPr>
          <w:rFonts w:ascii="Calibri" w:hAnsi="Calibri" w:cs="Calibri"/>
        </w:rPr>
      </w:pPr>
      <w:r w:rsidRPr="00755E38">
        <w:rPr>
          <w:rFonts w:ascii="Calibri" w:hAnsi="Calibri" w:cs="Calibri"/>
          <w:b/>
        </w:rPr>
        <w:t xml:space="preserve">Physician / treating physician / diabetologist: </w:t>
      </w:r>
      <w:r w:rsidRPr="00755E38">
        <w:rPr>
          <w:rFonts w:ascii="Calibri" w:hAnsi="Calibri" w:cs="Calibri"/>
        </w:rPr>
        <w:t>Medical doctor at the participating site (e.g. diabetologist, vascular surgeon) responsible for medical evaluation, safety oversight, and clinical decision-making.</w:t>
      </w:r>
    </w:p>
    <w:p w14:paraId="529307E6" w14:textId="77777777" w:rsidR="00755E38" w:rsidRPr="00755E38" w:rsidRDefault="00755E38" w:rsidP="00755E38">
      <w:pPr>
        <w:rPr>
          <w:rFonts w:ascii="Calibri" w:hAnsi="Calibri" w:cs="Calibri"/>
        </w:rPr>
      </w:pPr>
      <w:r w:rsidRPr="00755E38">
        <w:rPr>
          <w:rFonts w:ascii="Calibri" w:hAnsi="Calibri" w:cs="Calibri"/>
          <w:b/>
        </w:rPr>
        <w:t xml:space="preserve">Footwear technician: </w:t>
      </w:r>
      <w:r w:rsidRPr="00755E38">
        <w:rPr>
          <w:rFonts w:ascii="Calibri" w:hAnsi="Calibri" w:cs="Calibri"/>
        </w:rPr>
        <w:t>Site staff member involved in the technical aspects of footwear fitting and adjustment.</w:t>
      </w:r>
    </w:p>
    <w:p w14:paraId="6DA2D905" w14:textId="77777777" w:rsidR="00755E38" w:rsidRPr="00755E38" w:rsidRDefault="00755E38" w:rsidP="00755E38">
      <w:pPr>
        <w:rPr>
          <w:rFonts w:ascii="Calibri" w:hAnsi="Calibri" w:cs="Calibri"/>
        </w:rPr>
      </w:pPr>
      <w:r w:rsidRPr="00755E38">
        <w:rPr>
          <w:rFonts w:ascii="Calibri" w:hAnsi="Calibri" w:cs="Calibri"/>
          <w:b/>
        </w:rPr>
        <w:t xml:space="preserve">Care pathway lead: </w:t>
      </w:r>
      <w:r w:rsidRPr="00755E38">
        <w:rPr>
          <w:rFonts w:ascii="Calibri" w:hAnsi="Calibri" w:cs="Calibri"/>
        </w:rPr>
        <w:t>Local staff member at each participating site responsible for the organisational implementation of the PARADISE care pathway. This role will often coincide with the site PI. The care pathway lead is considered an organisational stakeholder in the process evaluation.</w:t>
      </w:r>
    </w:p>
    <w:p w14:paraId="132BB3F6" w14:textId="77777777" w:rsidR="007738CF" w:rsidRDefault="00000000">
      <w:r>
        <w:t>Site staff: Personnel at a participating Diabetic Foot Clinic (DFC) who are trained and delegated by the site Principal Investigator to perform study procedures as part of routine clinical care (eCRF-Document 03), including the treating physician, podiatrist, pedorthist, nurse and footwear technician. Distinct from the research team.</w:t>
      </w:r>
    </w:p>
    <w:p w14:paraId="1B6C862F" w14:textId="77777777" w:rsidR="00755E38" w:rsidRPr="00755E38" w:rsidRDefault="00755E38" w:rsidP="00755E38">
      <w:pPr>
        <w:rPr>
          <w:rFonts w:ascii="Calibri" w:hAnsi="Calibri" w:cs="Calibri"/>
        </w:rPr>
      </w:pPr>
      <w:r w:rsidRPr="00755E38">
        <w:rPr>
          <w:rFonts w:ascii="Calibri" w:hAnsi="Calibri" w:cs="Calibri"/>
          <w:b/>
        </w:rPr>
        <w:t xml:space="preserve">Research team / study team: </w:t>
      </w:r>
      <w:r w:rsidRPr="00755E38">
        <w:rPr>
          <w:rFonts w:ascii="Calibri" w:hAnsi="Calibri" w:cs="Calibri"/>
        </w:rPr>
        <w:t>The PARADISE research staff, including the Coordinating Investigator (CI), PhD students, and other researchers responsible for F-Scan GO measurements, data collection, trial coordination, and study oversight, distinct from site personnel who deliver routine clinical care.</w:t>
      </w:r>
    </w:p>
    <w:p w14:paraId="2D648C2C" w14:textId="77777777" w:rsidR="00755E38" w:rsidRPr="00755E38" w:rsidRDefault="00755E38" w:rsidP="00755E38">
      <w:pPr>
        <w:rPr>
          <w:rFonts w:ascii="Calibri" w:hAnsi="Calibri" w:cs="Calibri"/>
        </w:rPr>
      </w:pPr>
      <w:r w:rsidRPr="00755E38">
        <w:rPr>
          <w:rFonts w:ascii="Calibri" w:hAnsi="Calibri" w:cs="Calibri"/>
          <w:b/>
        </w:rPr>
        <w:t xml:space="preserve">PhD student: </w:t>
      </w:r>
      <w:r w:rsidRPr="00755E38">
        <w:rPr>
          <w:rFonts w:ascii="Calibri" w:hAnsi="Calibri" w:cs="Calibri"/>
        </w:rPr>
        <w:t xml:space="preserve">One of the two doctoral researchers supporting trial conduct, recruitment, and data collection as part of the research team </w:t>
      </w:r>
    </w:p>
    <w:p w14:paraId="7D3FFA13" w14:textId="05623853" w:rsidR="00373F1E" w:rsidRDefault="00373F1E" w:rsidP="00755E38">
      <w:pPr>
        <w:rPr>
          <w:rFonts w:ascii="Calibri" w:hAnsi="Calibri" w:cs="Calibri"/>
          <w:b/>
          <w:color w:val="000000"/>
          <w:sz w:val="28"/>
        </w:rPr>
      </w:pPr>
    </w:p>
    <w:p w14:paraId="06EC1107" w14:textId="77777777" w:rsidR="00755E38" w:rsidRPr="00755E38" w:rsidRDefault="00755E38" w:rsidP="00755E38">
      <w:pPr>
        <w:rPr>
          <w:rFonts w:ascii="Calibri" w:hAnsi="Calibri" w:cs="Calibri"/>
          <w:b/>
          <w:color w:val="000000"/>
          <w:sz w:val="28"/>
        </w:rPr>
      </w:pP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3.2.2. Primary endpoint</w:t>
      </w:r>
      <w:r w:rsidR="0085662E" w:rsidRPr="00273BD4"/>
      <w:r w:rsidRPr="00273BD4"/>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3.2.3.1. Footwear adherence — secondary endpoint and pre-specified mediator</w:t>
      </w:r>
      <w:r w:rsidR="0085662E" w:rsidRPr="00273BD4">
        <w:rPr>
          <w:rFonts w:ascii="Calibri" w:eastAsiaTheme="minorEastAsia" w:hAnsi="Calibri" w:cs="Calibri"/>
          <w:b/>
          <w:bCs/>
          <w:iCs/>
        </w:rPr>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Adherence to footwear will be defined as wearing their sensor-equipped footwear for 80% of the average daily waking time — the period between the two nights, established from the baseline MoveMonitor profile — and this for 7 days per week. Footwear adherence will be calculated throughout the 18-month study duration and will be read-out every three months, with the primary analysis timepoint at 12 months. Adherence is not a primary endpoint: it is reported as a secondary endpoint and is the pre-specified mediator through which the intervention is expected to act on ulcer recurrence. It therefore carries no success criterion of its own.</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 For footwear adherence as a secondary patient-related outcome measure, we expect 71% (SD 25%) adherence in Usual Care at 18 months based on findings from previous research. We expect an increase in footwear adherence in the Optimal Care group to a level of 85% at 18 months, through the effect of the structured education and behavioural support intervention. With α = 0.05 (two-sided) and power = 80%, enrolment ratio of 1, power calculations show that 100 participants are required (50 per study group). Including a drop-out rate of 15%, this leads to 115 participants for this endpoint. The recruitment target of the trial is set by the primary endpoint (144 participants), so this secondary endpoint is adequately powered.</w:t>
      </w:r>
      <w:r w:rsidRPr="6898190B">
        <w:rPr>
          <w:rFonts w:ascii="Calibri" w:hAnsi="Calibri" w:cs="Calibri"/>
        </w:rPr>
      </w:r>
      <w:r w:rsidRPr="6898190B">
        <w:rPr>
          <w:rFonts w:ascii="Calibri" w:hAnsi="Calibri" w:cs="Calibri"/>
          <w:b/>
          <w:bCs/>
        </w:rPr>
      </w:r>
      <w:r w:rsidRPr="6898190B">
        <w:rPr>
          <w:rFonts w:ascii="Calibri" w:hAnsi="Calibri" w:cs="Calibri"/>
        </w:rPr>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r>
      <w:r w:rsidR="00CE447D">
        <w:rPr>
          <w:rFonts w:ascii="Calibri" w:hAnsi="Calibri" w:cs="Calibri"/>
        </w:rPr>
      </w:r>
      <w:r w:rsidRPr="6898190B">
        <w:rPr>
          <w:rFonts w:ascii="Calibri" w:hAnsi="Calibri" w:cs="Calibri"/>
        </w:rPr>
      </w:r>
      <w:r w:rsidRPr="6898190B">
        <w:rPr>
          <w:rFonts w:ascii="Calibri" w:hAnsi="Calibri" w:cs="Calibri"/>
          <w:b/>
          <w:bCs/>
        </w:rPr>
      </w:r>
      <w:r w:rsidRPr="6898190B">
        <w:rPr>
          <w:rFonts w:ascii="Calibri" w:hAnsi="Calibri" w:cs="Calibri"/>
        </w:rPr>
      </w:r>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824D211"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w:t>
      </w:r>
      <w:r w:rsidRPr="00B11C6C">
        <w:rPr>
          <w:rFonts w:ascii="Calibri" w:hAnsi="Calibri" w:cs="Calibri"/>
          <w:b/>
          <w:bCs/>
          <w:color w:val="EE0000"/>
        </w:rPr>
        <w:t>eCRF</w:t>
      </w:r>
      <w:r w:rsidR="00B11C6C">
        <w:rPr>
          <w:rFonts w:ascii="Calibri" w:hAnsi="Calibri" w:cs="Calibri"/>
          <w:b/>
          <w:bCs/>
          <w:color w:val="EE0000"/>
        </w:rPr>
        <w:t xml:space="preserve"> </w:t>
      </w:r>
      <w:r w:rsidRPr="00B11C6C">
        <w:rPr>
          <w:rFonts w:ascii="Calibri" w:hAnsi="Calibri" w:cs="Calibri"/>
          <w:b/>
          <w:bCs/>
          <w:color w:val="EE0000"/>
        </w:rPr>
        <w:t>Document 47: Ulcus-vervolgformulier</w:t>
      </w:r>
      <w:r w:rsidRPr="6575C696">
        <w:rPr>
          <w:rFonts w:ascii="Calibri" w:hAnsi="Calibri" w:cs="Calibri"/>
        </w:rPr>
        <w:t xml:space="preserve">), occurrence of infection (classified using PEDIS/WIfI; eCRF-Document 36/38), and occurrence of major (above-ankle) or minor (below-ankle) amputation (captured via adverse </w:t>
      </w:r>
      <w:r w:rsidRPr="6575C696">
        <w:rPr>
          <w:rFonts w:ascii="Calibri" w:hAnsi="Calibri" w:cs="Calibri"/>
        </w:rPr>
        <w:lastRenderedPageBreak/>
        <w:t>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45BF1EC3"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w:t>
      </w:r>
      <w:r w:rsidRPr="0003215A">
        <w:rPr>
          <w:rFonts w:ascii="Calibri" w:hAnsi="Calibri" w:cs="Calibri"/>
          <w:b/>
          <w:bCs/>
          <w:color w:val="EE0000"/>
        </w:rPr>
        <w:t>eCRF</w:t>
      </w:r>
      <w:r w:rsidR="0003215A" w:rsidRPr="0003215A">
        <w:rPr>
          <w:rFonts w:ascii="Calibri" w:hAnsi="Calibri" w:cs="Calibri"/>
          <w:b/>
          <w:bCs/>
          <w:color w:val="EE0000"/>
        </w:rPr>
        <w:t xml:space="preserve"> </w:t>
      </w:r>
      <w:r w:rsidRPr="0003215A">
        <w:rPr>
          <w:rFonts w:ascii="Calibri" w:hAnsi="Calibri" w:cs="Calibri"/>
          <w:b/>
          <w:bCs/>
          <w:color w:val="EE0000"/>
        </w:rPr>
        <w:t>Document 45: Health-Economic Diary at baseline;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45a </w:t>
      </w:r>
      <w:r w:rsidRPr="00A64345">
        <w:rPr>
          <w:rFonts w:ascii="Calibri" w:hAnsi="Calibri" w:cs="Calibri"/>
        </w:rPr>
        <w:t>bi-weekly up to month 3</w:t>
      </w:r>
      <w:r w:rsidRPr="0003215A">
        <w:rPr>
          <w:rFonts w:ascii="Calibri" w:hAnsi="Calibri" w:cs="Calibri"/>
          <w:b/>
          <w:bCs/>
          <w:color w:val="EE0000"/>
        </w:rPr>
        <w:t>;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45b, </w:t>
      </w:r>
      <w:r w:rsidRPr="00A64345">
        <w:rPr>
          <w:rFonts w:ascii="Calibri" w:hAnsi="Calibri" w:cs="Calibri"/>
        </w:rPr>
        <w:t>a single booklet covering months 3 to 18 that the participant retains and completes per quarterly period</w:t>
      </w:r>
      <w:r w:rsidRPr="6898190B">
        <w:rPr>
          <w:rFonts w:ascii="Calibri" w:hAnsi="Calibri" w:cs="Calibri"/>
        </w:rPr>
        <w:t xml:space="preserve">)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64A351E5"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w:t>
      </w:r>
      <w:r w:rsidRPr="00CC28DC">
        <w:rPr>
          <w:rStyle w:val="CommentReference"/>
          <w:rFonts w:ascii="Calibri" w:hAnsi="Calibri" w:cs="Calibri"/>
          <w:b/>
          <w:bCs/>
          <w:color w:val="EE0000"/>
          <w:sz w:val="22"/>
          <w:szCs w:val="22"/>
        </w:rPr>
        <w:t>eCRF</w:t>
      </w:r>
      <w:r w:rsidR="00CC28DC">
        <w:rPr>
          <w:rStyle w:val="CommentReference"/>
          <w:rFonts w:ascii="Calibri" w:hAnsi="Calibri" w:cs="Calibri"/>
          <w:b/>
          <w:bCs/>
          <w:color w:val="EE0000"/>
          <w:sz w:val="22"/>
          <w:szCs w:val="22"/>
        </w:rPr>
        <w:t xml:space="preserve"> </w:t>
      </w:r>
      <w:r w:rsidRPr="00CC28DC">
        <w:rPr>
          <w:rStyle w:val="CommentReference"/>
          <w:rFonts w:ascii="Calibri" w:hAnsi="Calibri" w:cs="Calibri"/>
          <w:b/>
          <w:bCs/>
          <w:color w:val="EE0000"/>
          <w:sz w:val="22"/>
          <w:szCs w:val="22"/>
        </w:rPr>
        <w:t>Document 44: Fidelity Checklist SEBIA Intervention</w:t>
      </w:r>
      <w:r w:rsidRPr="004146C0">
        <w:rPr>
          <w:rStyle w:val="CommentReference"/>
          <w:rFonts w:ascii="Calibri" w:hAnsi="Calibri" w:cs="Calibri"/>
          <w:sz w:val="22"/>
          <w:szCs w:val="22"/>
        </w:rPr>
        <w:t>),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53F2FA78" w14:textId="59F32A6C" w:rsidR="0085662E" w:rsidRPr="00273BD4" w:rsidRDefault="00FD1049" w:rsidP="00CC28DC">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(including the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 or refuse the adherence sensor (Orthotimer) embedded in the orthosis</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site staff.</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Procedures (SOPs). </w:t>
      </w:r>
      <w:r w:rsidRPr="0097545F">
        <w:rPr>
          <w:rFonts w:ascii="Calibri" w:hAnsi="Calibri" w:cs="Calibri"/>
        </w:rPr>
        <w:t xml:space="preserve">Original signed Informed Consent Forms (ICFs) will be retained and archived in the </w:t>
      </w:r>
      <w:r w:rsidRPr="0097545F">
        <w:rPr>
          <w:rFonts w:ascii="Calibri" w:hAnsi="Calibri" w:cs="Calibri"/>
        </w:rPr>
        <w:lastRenderedPageBreak/>
        <w:t>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DB610C">
        <w:rPr>
          <w:rFonts w:ascii="Calibri" w:hAnsi="Calibri" w:cs="Calibri"/>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DB610C">
        <w:rPr>
          <w:rFonts w:ascii="Calibri" w:hAnsi="Calibri" w:cs="Calibri"/>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site staff.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317505"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lastRenderedPageBreak/>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Pr="00317505" w:rsidRDefault="00831550" w:rsidP="01D944E3">
      <w:pPr>
        <w:spacing w:after="0" w:line="240" w:lineRule="auto"/>
        <w:contextualSpacing/>
        <w:jc w:val="both"/>
        <w:rPr>
          <w:i/>
          <w:color w:val="FF0000"/>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lastRenderedPageBreak/>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455891"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w:t>
      </w:r>
      <w:r w:rsidR="00AA4B69" w:rsidRPr="00455891">
        <w:rPr>
          <w:rFonts w:ascii="Calibri" w:hAnsi="Calibri" w:cs="Calibri"/>
        </w:rPr>
        <w:t>Hz, communication with PC via Wifi telemetry and comes with the Novel Scientif</w:t>
      </w:r>
      <w:r w:rsidR="4E0B0D5B" w:rsidRPr="00455891">
        <w:rPr>
          <w:rFonts w:ascii="Calibri" w:hAnsi="Calibri" w:cs="Calibri"/>
        </w:rPr>
        <w:t>i</w:t>
      </w:r>
      <w:r w:rsidR="00AA4B69" w:rsidRPr="00455891">
        <w:rPr>
          <w:rFonts w:ascii="Calibri" w:hAnsi="Calibri" w:cs="Calibri"/>
        </w:rPr>
        <w:t xml:space="preserve">c Studio Software. </w:t>
      </w:r>
    </w:p>
    <w:p w14:paraId="55B0992E" w14:textId="6CA4888B" w:rsidR="002501EF" w:rsidRPr="00455891" w:rsidRDefault="00AA4B69" w:rsidP="003159D5">
      <w:pPr>
        <w:spacing w:after="0" w:line="240" w:lineRule="auto"/>
        <w:jc w:val="both"/>
        <w:rPr>
          <w:rFonts w:ascii="Calibri" w:hAnsi="Calibri" w:cs="Calibri"/>
        </w:rPr>
      </w:pPr>
      <w:r w:rsidRPr="00455891">
        <w:rPr>
          <w:rFonts w:ascii="Calibri" w:hAnsi="Calibri" w:cs="Calibri"/>
        </w:rPr>
        <w:t xml:space="preserve">Calibration of the system will be performed with the trublu device at least every 3 months. </w:t>
      </w:r>
      <w:r w:rsidR="002501EF" w:rsidRPr="00455891">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Pr="00455891" w:rsidRDefault="00000000">
      <w:pPr>
        <w:rPr>
          <w:rFonts w:ascii="Calibri" w:hAnsi="Calibri" w:cs="Calibri"/>
        </w:rPr>
      </w:pPr>
      <w:r w:rsidRPr="00455891">
        <w:rPr>
          <w:rFonts w:ascii="Calibri" w:hAnsi="Calibri" w:cs="Calibri"/>
        </w:rP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00B63F5E">
        <w:rPr>
          <w:rFonts w:ascii="Calibri" w:hAnsi="Calibri" w:cs="Calibri"/>
          <w:b/>
          <w:bCs/>
          <w:color w:val="EE0000"/>
        </w:rPr>
        <w:t>eCRF-Document 23 (fitting and verification)</w:t>
      </w:r>
      <w:r w:rsidR="000876ED" w:rsidRPr="14A59B64">
        <w:rPr>
          <w:rFonts w:ascii="Calibri" w:hAnsi="Calibri" w:cs="Calibri"/>
        </w:rPr>
        <w:t xml:space="preserve"> and</w:t>
      </w:r>
      <w:r w:rsidR="000876ED" w:rsidRPr="00B63F5E">
        <w:rPr>
          <w:rFonts w:ascii="Calibri" w:hAnsi="Calibri" w:cs="Calibri"/>
          <w:color w:val="EE0000"/>
        </w:rPr>
        <w:t xml:space="preserve"> </w:t>
      </w:r>
      <w:r w:rsidR="000876ED" w:rsidRPr="00B63F5E">
        <w:rPr>
          <w:rFonts w:ascii="Calibri" w:hAnsi="Calibri" w:cs="Calibri"/>
          <w:b/>
          <w:bCs/>
          <w:color w:val="EE0000"/>
        </w:rPr>
        <w:t>eCRF-Document 24b (Excel-based peak pressure and offloading follow-up tool</w:t>
      </w:r>
      <w:r w:rsidR="002D44A9" w:rsidRPr="00B63F5E">
        <w:rPr>
          <w:rFonts w:ascii="Calibri" w:hAnsi="Calibri" w:cs="Calibri"/>
          <w:b/>
          <w:bCs/>
          <w:color w:val="EE0000"/>
        </w:rPr>
        <w:t>)</w:t>
      </w:r>
      <w:r w:rsidRPr="14A59B64">
        <w:rPr>
          <w:rFonts w:ascii="Calibri" w:hAnsi="Calibri" w:cs="Calibri"/>
        </w:rPr>
        <w:t>. Footwear will be modified to improve pressure redistribution when peak plantar pressures exceed 200 kPa or when the podiatrist and pedorthist judge that further pressure reduction is achievable. The goal is to reduce peak plantar pressure by at least 25% compared with the baseline measurement taken without the CMFO at fitting (visit 2), which remains the reference at months 6, 12 and 18, or to reach an absolute value below 200 kPa.</w:t>
      </w:r>
    </w:p>
    <w:p w14:paraId="6407EB53" w14:textId="51CF0530" w:rsidR="00A628AB" w:rsidRPr="00317505" w:rsidRDefault="006A65A9" w:rsidP="004E3F41">
      <w:pPr>
        <w:spacing w:after="0" w:line="240" w:lineRule="auto"/>
        <w:contextualSpacing/>
        <w:jc w:val="both"/>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returned for use, ensuring that both pairs remain available throughout the follow-up period. The exchange of pairs will therefore occur during scheduled maintenance visits only and will not require participants to alternate pairs </w:t>
      </w:r>
      <w:r w:rsidR="002A2F07" w:rsidRPr="004E3F41">
        <w:rPr>
          <w:rFonts w:ascii="Calibri" w:hAnsi="Calibri" w:cs="Calibri"/>
        </w:rPr>
        <w:t>daily</w:t>
      </w:r>
      <w:r w:rsidR="004E3F41" w:rsidRPr="004E3F41">
        <w:rPr>
          <w:rFonts w:ascii="Calibri" w:hAnsi="Calibri" w:cs="Calibri"/>
        </w:rPr>
        <w:t>.</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lastRenderedPageBreak/>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33F9B72B" w14:textId="77777777" w:rsidR="007738CF" w:rsidRDefault="00000000">
      <w:r>
        <w:t>Delivery of all five steps follows a standardised script for the treating healthcare professional, ensuring that the same content and sequence are used across sites (eCRF-Document 17: Script PARADISE intervention).</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w:t>
      </w:r>
      <w:r w:rsidRPr="00532DE3">
        <w:rPr>
          <w:rFonts w:ascii="Calibri" w:hAnsi="Calibri" w:cs="Calibri"/>
          <w:color w:val="000000" w:themeColor="text1"/>
        </w:rPr>
        <w:lastRenderedPageBreak/>
        <w:t>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0DF4C5A4" w14:textId="77777777" w:rsidR="007738CF" w:rsidRDefault="00000000">
      <w:r>
        <w:rPr>
          <w:color w:val="000000"/>
        </w:rPr>
        <w:t>A project-specific website supports standardised delivery of the intervention. It hosts training material for clinicians on the measurement protocols (F-Scan GO, Novel pedar, MoveMonitor and Orthotimer) and on the SEBIA education programme, together with education material for participants that complements the printed materials (eCRF-Document 16 and 17). Content and version control are managed by the research team.</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storage capacity (battery lifespan of minimum 20 months).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seven-day profile will be used to determine when a participant gets up and goes to bed. An average daily waking time — the period between the two nights —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that window. Waking time is used rather than weight-bearing time because the compliance sensor and the activity monitor report per calendar day and are not epoch-synchronised</w:t>
      </w:r>
      <w:r w:rsidRPr="00273BD4">
        <w:rPr>
          <w:rFonts w:ascii="Calibri" w:hAnsi="Calibri" w:cs="Calibri"/>
          <w:b/>
          <w:bCs/>
        </w:rPr>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6A786B">
        <w:rPr>
          <w:rFonts w:ascii="Calibri" w:hAnsi="Calibri" w:cs="Calibri"/>
        </w:rPr>
        <w:t>(</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6A786B">
        <w:rPr>
          <w:rFonts w:ascii="Calibri" w:hAnsi="Calibri" w:cs="Calibri"/>
        </w:rPr>
        <w:t>)</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6A786B">
        <w:rPr>
          <w:rFonts w:ascii="Calibri" w:hAnsi="Calibri" w:cs="Calibri"/>
        </w:rPr>
        <w:t>)</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317505" w:rsidRDefault="009D211C">
      <w:pPr>
        <w:rPr>
          <w:rFonts w:ascii="Calibri" w:hAnsi="Calibri" w:cs="Calibri"/>
        </w:rPr>
      </w:pPr>
    </w:p>
    <w:p w14:paraId="772FEA93" w14:textId="77777777" w:rsidR="009D211C" w:rsidRPr="00317505" w:rsidRDefault="009D211C">
      <w:pPr>
        <w:rPr>
          <w:rFonts w:ascii="Calibri" w:hAnsi="Calibri" w:cs="Calibri"/>
        </w:rPr>
      </w:pPr>
    </w:p>
    <w:p w14:paraId="6F00DD45" w14:textId="77777777" w:rsidR="009D211C" w:rsidRPr="00317505" w:rsidRDefault="009D211C">
      <w:pPr>
        <w:rPr>
          <w:rFonts w:ascii="Calibri" w:hAnsi="Calibri" w:cs="Calibri"/>
        </w:rPr>
      </w:pPr>
    </w:p>
    <w:p w14:paraId="38E36B24" w14:textId="77777777" w:rsidR="009D211C" w:rsidRPr="00317505" w:rsidRDefault="009D211C">
      <w:pPr>
        <w:rPr>
          <w:rFonts w:ascii="Calibri" w:hAnsi="Calibri" w:cs="Calibri"/>
        </w:rPr>
      </w:pPr>
    </w:p>
    <w:p w14:paraId="052D265D" w14:textId="77777777" w:rsidR="009D211C" w:rsidRPr="00317505" w:rsidRDefault="009D211C">
      <w:pPr>
        <w:rPr>
          <w:rFonts w:ascii="Calibri" w:hAnsi="Calibri" w:cs="Calibri"/>
        </w:rPr>
      </w:pPr>
    </w:p>
    <w:p w14:paraId="2489F177" w14:textId="77777777" w:rsidR="009D211C" w:rsidRPr="00317505" w:rsidRDefault="009D211C">
      <w:pPr>
        <w:rPr>
          <w:rFonts w:ascii="Calibri" w:hAnsi="Calibri" w:cs="Calibri"/>
        </w:rPr>
      </w:pPr>
    </w:p>
    <w:p w14:paraId="4876BC95" w14:textId="77777777" w:rsidR="009D211C" w:rsidRPr="00317505" w:rsidRDefault="009D211C">
      <w:pPr>
        <w:rPr>
          <w:rFonts w:ascii="Calibri" w:hAnsi="Calibri" w:cs="Calibri"/>
        </w:rPr>
      </w:pPr>
    </w:p>
    <w:p w14:paraId="7A92F777" w14:textId="77777777" w:rsidR="009D211C" w:rsidRPr="00317505" w:rsidRDefault="009D211C">
      <w:pPr>
        <w:rPr>
          <w:rFonts w:ascii="Calibri" w:hAnsi="Calibri" w:cs="Calibri"/>
        </w:rPr>
      </w:pPr>
    </w:p>
    <w:p w14:paraId="3EE2AC97" w14:textId="77777777" w:rsidR="009D211C" w:rsidRPr="00317505" w:rsidRDefault="009D211C">
      <w:pPr>
        <w:rPr>
          <w:rFonts w:ascii="Calibri" w:hAnsi="Calibri" w:cs="Calibri"/>
        </w:rPr>
      </w:pPr>
    </w:p>
    <w:p w14:paraId="07E3CE36" w14:textId="77777777" w:rsidR="009D211C" w:rsidRPr="00317505" w:rsidRDefault="009D211C">
      <w:pPr>
        <w:rPr>
          <w:rFonts w:ascii="Calibri" w:hAnsi="Calibri" w:cs="Calibri"/>
        </w:rPr>
      </w:pPr>
    </w:p>
    <w:p w14:paraId="6AF997D3" w14:textId="77777777" w:rsidR="009D211C" w:rsidRPr="00317505" w:rsidRDefault="009D211C">
      <w:pPr>
        <w:rPr>
          <w:rFonts w:ascii="Calibri" w:hAnsi="Calibri" w:cs="Calibri"/>
        </w:rPr>
      </w:pPr>
    </w:p>
    <w:p w14:paraId="50CF6477" w14:textId="77777777" w:rsidR="009D211C" w:rsidRPr="00317505" w:rsidRDefault="009D211C">
      <w:pPr>
        <w:rPr>
          <w:rFonts w:ascii="Calibri" w:hAnsi="Calibri" w:cs="Calibri"/>
        </w:rPr>
      </w:pPr>
    </w:p>
    <w:p w14:paraId="1B78939C" w14:textId="77777777" w:rsidR="009D211C" w:rsidRPr="00317505" w:rsidRDefault="009D211C">
      <w:pPr>
        <w:rPr>
          <w:rFonts w:ascii="Calibri" w:hAnsi="Calibri" w:cs="Calibri"/>
        </w:rPr>
      </w:pPr>
    </w:p>
    <w:p w14:paraId="7EECC2FB" w14:textId="77777777" w:rsidR="009D211C" w:rsidRPr="00317505" w:rsidRDefault="009D211C">
      <w:pPr>
        <w:rPr>
          <w:rFonts w:ascii="Calibri" w:hAnsi="Calibri" w:cs="Calibri"/>
        </w:rPr>
      </w:pPr>
    </w:p>
    <w:p w14:paraId="6732263A" w14:textId="77777777" w:rsidR="009D211C" w:rsidRPr="00317505"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49F8F52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lastRenderedPageBreak/>
        <w:t>Assess satisfaction with ulcer prevention approach</w:t>
      </w:r>
      <w:r w:rsidR="00BD7D2C" w:rsidRPr="0E5D09C0">
        <w:rPr>
          <w:rFonts w:ascii="Calibri" w:hAnsi="Calibri" w:cs="Calibri"/>
        </w:rPr>
        <w:t xml:space="preserve"> </w:t>
      </w:r>
      <w:r w:rsidRPr="00BC4BEA">
        <w:rPr>
          <w:rFonts w:ascii="Calibri" w:hAnsi="Calibri" w:cs="Calibri"/>
        </w:rPr>
        <w:t>(</w:t>
      </w:r>
      <w:r w:rsidR="00BD7D2C" w:rsidRPr="0E5D09C0">
        <w:rPr>
          <w:rFonts w:ascii="Calibri" w:hAnsi="Calibri" w:cs="Calibri"/>
          <w:b/>
          <w:bCs/>
          <w:color w:val="EE0000"/>
        </w:rPr>
        <w:t xml:space="preserve">eCRF-Document 12- Assess satisfaction with ulcer prevention </w:t>
      </w:r>
      <w:r w:rsidR="00BD7D2C" w:rsidRPr="00BC4BEA">
        <w:rPr>
          <w:rFonts w:ascii="Calibri" w:hAnsi="Calibri" w:cs="Calibri"/>
        </w:rPr>
        <w:t>),</w:t>
      </w:r>
      <w:r w:rsidR="00BD7D2C" w:rsidRPr="00BC4BEA">
        <w:rPr>
          <w:rFonts w:ascii="Calibri" w:hAnsi="Calibri" w:cs="Calibri"/>
          <w:b/>
          <w:bCs/>
        </w:rPr>
        <w:t xml:space="preserve"> </w:t>
      </w:r>
      <w:r w:rsidRPr="00BC4BEA">
        <w:rPr>
          <w:rFonts w:ascii="Calibri" w:hAnsi="Calibri" w:cs="Calibri"/>
        </w:rPr>
        <w:t>single-item visual analogue scale (VAS); this assessment is repeated at study completion (Visit 8, month 18) to evaluate change over time</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A81ED8">
        <w:rPr>
          <w:rFonts w:ascii="Calibri" w:hAnsi="Calibri" w:cs="Calibri"/>
        </w:rPr>
        <w:t>(</w:t>
      </w:r>
      <w:r w:rsidR="00BD7D2C" w:rsidRPr="00881DB4">
        <w:rPr>
          <w:rFonts w:ascii="Calibri" w:hAnsi="Calibri" w:cs="Calibri"/>
          <w:b/>
          <w:bCs/>
          <w:color w:val="EE0000"/>
        </w:rPr>
        <w:t>eCRF-Document 13</w:t>
      </w:r>
      <w:r w:rsidRPr="00273BD4">
        <w:rPr>
          <w:rFonts w:ascii="Calibri" w:hAnsi="Calibri" w:cs="Calibri"/>
          <w:b/>
          <w:bCs/>
          <w:color w:val="EE0000"/>
        </w:rPr>
        <w:t>-MOS</w:t>
      </w:r>
      <w:r w:rsidRPr="00A81ED8">
        <w:rPr>
          <w:rFonts w:ascii="Calibri" w:hAnsi="Calibri" w:cs="Calibri"/>
        </w:rPr>
        <w:t>)</w:t>
      </w:r>
      <w:r w:rsidRPr="00273BD4">
        <w:rPr>
          <w:rFonts w:ascii="Calibri" w:hAnsi="Calibri" w:cs="Calibri"/>
          <w:b/>
          <w:bCs/>
          <w:color w:val="EE0000"/>
        </w:rPr>
        <w:t xml:space="preserve">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A81ED8">
        <w:rPr>
          <w:rFonts w:ascii="Calibri" w:hAnsi="Calibri" w:cs="Calibri"/>
        </w:rPr>
        <w:t>(</w:t>
      </w:r>
      <w:r w:rsidR="00BD7D2C" w:rsidRPr="00881DB4">
        <w:rPr>
          <w:rFonts w:ascii="Calibri" w:hAnsi="Calibri" w:cs="Calibri"/>
          <w:b/>
          <w:bCs/>
          <w:color w:val="EE0000"/>
        </w:rPr>
        <w:t>eCRF-Document 14</w:t>
      </w:r>
      <w:r w:rsidRPr="00273BD4">
        <w:rPr>
          <w:rFonts w:ascii="Calibri" w:hAnsi="Calibri" w:cs="Calibri"/>
          <w:b/>
          <w:bCs/>
          <w:color w:val="EE0000"/>
        </w:rPr>
        <w:t>: NAFF</w:t>
      </w:r>
      <w:r w:rsidRPr="00A81ED8">
        <w:rPr>
          <w:rFonts w:ascii="Calibri" w:hAnsi="Calibri" w:cs="Calibri"/>
        </w:rPr>
        <w:t>)</w:t>
      </w:r>
    </w:p>
    <w:p w14:paraId="583A6B38" w14:textId="35953386" w:rsidR="00204979" w:rsidRPr="00A81ED8"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A81ED8">
        <w:rPr>
          <w:rFonts w:ascii="Calibri" w:hAnsi="Calibri" w:cs="Calibri"/>
        </w:rPr>
        <w:t>(</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A81ED8">
        <w:rPr>
          <w:rFonts w:ascii="Calibri" w:eastAsia="Times New Roman" w:hAnsi="Calibri" w:cs="Calibri"/>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A81ED8">
        <w:rPr>
          <w:rFonts w:ascii="Calibri" w:hAnsi="Calibri" w:cs="Calibri"/>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48</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A81ED8">
        <w:rPr>
          <w:rFonts w:ascii="Calibri" w:hAnsi="Calibri" w:cs="Calibri"/>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A81ED8">
        <w:rPr>
          <w:rFonts w:ascii="Calibri" w:hAnsi="Calibri" w:cs="Calibri"/>
        </w:rPr>
        <w:t>)</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5" w:name="_Toc229929336"/>
      <w:r w:rsidRPr="00273BD4">
        <w:t>5.5.3. Visit 2 - Assessments (</w:t>
      </w:r>
      <w:r w:rsidR="00726E52" w:rsidRPr="00273BD4">
        <w:t>14 days</w:t>
      </w:r>
      <w:r w:rsidR="00AA4B69" w:rsidRPr="00273BD4">
        <w:t>- 1 month</w:t>
      </w:r>
      <w:r w:rsidRPr="00273BD4">
        <w:t>)</w:t>
      </w:r>
      <w:bookmarkEnd w:id="3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the baseline measurement taken without the CMFO at fitting (visit 2), which remains the reference at months 6, 12 and 18,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6" w:name="_Toc229929337"/>
      <w:r w:rsidRPr="00273BD4">
        <w:lastRenderedPageBreak/>
        <w:t>5.5.4. Visits 3 to 8- Assessments (month 3 to month 18)</w:t>
      </w:r>
      <w:bookmarkEnd w:id="3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7" w:name="_Toc229929338"/>
      <w:r w:rsidRPr="00273BD4">
        <w:t>5.5.5. Visit 4-6 and 8 – Additional Assessments (month 6-12-18)</w:t>
      </w:r>
      <w:bookmarkEnd w:id="3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the baseline measurement taken without the CMFO at fitting (visit 2), which remains the reference at months 6, 12 and 18,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71DCDDC4" w14:textId="77777777" w:rsidR="00AC160C" w:rsidRDefault="00000000">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8" w:name="_Toc229929339"/>
      <w:r w:rsidRPr="00273BD4">
        <w:t>5.5.6. Unscheduled assessments due to foot ulceration</w:t>
      </w:r>
      <w:bookmarkEnd w:id="3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256D77">
        <w:rPr>
          <w:rFonts w:ascii="Calibri" w:hAnsi="Calibri" w:cs="Calibri"/>
          <w:b/>
          <w:bCs/>
          <w:color w:val="EE0000"/>
          <w:sz w:val="22"/>
          <w:szCs w:val="22"/>
        </w:rPr>
        <w:t>eCRF-Document 36-PEDIS</w:t>
      </w:r>
      <w:r w:rsidR="005818E3" w:rsidRPr="0055107C">
        <w:rPr>
          <w:rFonts w:ascii="Calibri" w:hAnsi="Calibri" w:cs="Calibri"/>
        </w:rPr>
        <w:t>)</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256D77">
        <w:rPr>
          <w:rFonts w:ascii="Calibri" w:hAnsi="Calibri" w:cs="Calibri"/>
          <w:b/>
          <w:bCs/>
          <w:color w:val="EE0000"/>
          <w:sz w:val="22"/>
          <w:szCs w:val="22"/>
        </w:rPr>
        <w:t>eCRF-Document 38-</w:t>
      </w:r>
      <w:r w:rsidR="005818E3" w:rsidRPr="00256D77">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39" w:name="_Toc229929340"/>
      <w:r w:rsidRPr="001A7EEE">
        <w:t xml:space="preserve">5.6. </w:t>
      </w:r>
      <w:r w:rsidR="0004151A" w:rsidRPr="001A7EEE">
        <w:t>Design and timeline p</w:t>
      </w:r>
      <w:r w:rsidRPr="001A7EEE">
        <w:t>rocess evaluation</w:t>
      </w:r>
      <w:bookmarkEnd w:id="3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w:t>
      </w:r>
      <w:r w:rsidRPr="001A7EEE">
        <w:rPr>
          <w:rFonts w:ascii="Calibri" w:eastAsia="Cambria" w:hAnsi="Calibri" w:cs="Calibri"/>
        </w:rPr>
        <w:lastRenderedPageBreak/>
        <w:t>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InterviewGuidePatient; eCRF-Document 42: InterviewGuideTherapeut; eCRF-Document 43: InterviewGuideManager</w:t>
      </w:r>
      <w:r w:rsidR="003E0194" w:rsidRPr="00256D77">
        <w:rPr>
          <w:rFonts w:ascii="Calibri" w:eastAsia="Cambria" w:hAnsi="Calibri" w:cs="Calibri"/>
        </w:rPr>
        <w:t>)</w:t>
      </w:r>
      <w:r w:rsidR="003E0194" w:rsidRPr="001A7EEE">
        <w:rPr>
          <w:rFonts w:ascii="Calibri" w:eastAsia="Cambria" w:hAnsi="Calibri" w:cs="Calibri"/>
          <w:b/>
          <w:bCs/>
          <w:color w:val="EE0000"/>
        </w:rPr>
        <w:t>.</w:t>
      </w:r>
    </w:p>
    <w:p w14:paraId="75C8405F" w14:textId="0643A44D" w:rsidR="00A628AB" w:rsidRPr="00256D77" w:rsidRDefault="0081054E" w:rsidP="00256D77">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40" w:name="_Toc229929341"/>
      <w:r w:rsidRPr="00273BD4">
        <w:rPr>
          <w:rFonts w:cs="Calibri"/>
        </w:rPr>
        <w:t>6</w:t>
      </w:r>
      <w:r w:rsidR="006E2DEF" w:rsidRPr="00273BD4">
        <w:rPr>
          <w:rFonts w:cs="Calibri"/>
        </w:rPr>
        <w:t>. Assessments of Safety</w:t>
      </w:r>
      <w:bookmarkEnd w:id="40"/>
    </w:p>
    <w:p w14:paraId="031CFD58" w14:textId="52EBA632" w:rsidR="006E2DEF" w:rsidRPr="00273BD4" w:rsidRDefault="006E2DEF" w:rsidP="006E2DEF">
      <w:pPr>
        <w:pStyle w:val="Kop2"/>
        <w:rPr>
          <w:rFonts w:cs="Calibri"/>
        </w:rPr>
      </w:pPr>
      <w:bookmarkStart w:id="41" w:name="_Toc229929342"/>
      <w:r w:rsidRPr="00273BD4">
        <w:rPr>
          <w:rFonts w:cs="Calibri"/>
        </w:rPr>
        <w:t>6.1. Specification, timing and recording of safety parameters</w:t>
      </w:r>
      <w:bookmarkEnd w:id="4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w:t>
      </w:r>
      <w:r w:rsidRPr="008C5B72">
        <w:rPr>
          <w:rFonts w:ascii="Calibri" w:hAnsi="Calibri" w:cs="Calibri"/>
          <w:b/>
          <w:bCs/>
          <w:color w:val="EE0000"/>
          <w:sz w:val="22"/>
          <w:szCs w:val="22"/>
          <w:lang w:val="en-GB"/>
        </w:rPr>
        <w:t xml:space="preserve">eCRF-Document 46 </w:t>
      </w:r>
      <w:r w:rsidRPr="001A7EEE">
        <w:rPr>
          <w:rFonts w:ascii="Calibri" w:hAnsi="Calibri" w:cs="Calibri"/>
          <w:sz w:val="22"/>
          <w:szCs w:val="22"/>
          <w:lang w:val="en-GB"/>
        </w:rPr>
        <w:t>(</w:t>
      </w:r>
      <w:r w:rsidRPr="008C5B72">
        <w:rPr>
          <w:rFonts w:ascii="Calibri" w:hAnsi="Calibri" w:cs="Calibri"/>
          <w:b/>
          <w:bCs/>
          <w:color w:val="EE0000"/>
          <w:sz w:val="22"/>
          <w:szCs w:val="22"/>
          <w:lang w:val="en-GB"/>
        </w:rPr>
        <w:t>AE/SAE Report Form</w:t>
      </w:r>
      <w:r w:rsidRPr="001A7EEE">
        <w:rPr>
          <w:rFonts w:ascii="Calibri" w:hAnsi="Calibri" w:cs="Calibri"/>
          <w:sz w:val="22"/>
          <w:szCs w:val="22"/>
          <w:lang w:val="en-GB"/>
        </w:rPr>
        <w:t xml:space="preserve">).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 xml:space="preserve">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w:t>
      </w:r>
      <w:r w:rsidRPr="008C5B72">
        <w:rPr>
          <w:rFonts w:ascii="Calibri" w:eastAsia="Times New Roman" w:hAnsi="Calibri" w:cs="Calibri"/>
          <w:b/>
          <w:bCs/>
          <w:color w:val="EE0000"/>
          <w:sz w:val="22"/>
          <w:szCs w:val="22"/>
          <w:lang w:val="en-GB"/>
        </w:rPr>
        <w:t xml:space="preserve">eCRF-Document 46 </w:t>
      </w:r>
      <w:r w:rsidRPr="7BC1CB9C">
        <w:rPr>
          <w:rFonts w:ascii="Calibri" w:eastAsia="Times New Roman" w:hAnsi="Calibri" w:cs="Calibri"/>
          <w:sz w:val="22"/>
          <w:szCs w:val="22"/>
          <w:lang w:val="en-GB"/>
        </w:rPr>
        <w:t>(</w:t>
      </w:r>
      <w:r w:rsidRPr="008C5B72">
        <w:rPr>
          <w:rFonts w:ascii="Calibri" w:eastAsia="Times New Roman" w:hAnsi="Calibri" w:cs="Calibri"/>
          <w:b/>
          <w:bCs/>
          <w:color w:val="EE0000"/>
          <w:sz w:val="22"/>
          <w:szCs w:val="22"/>
          <w:lang w:val="en-GB"/>
        </w:rPr>
        <w:t>AE/SAE Report Form</w:t>
      </w:r>
      <w:r w:rsidRPr="7BC1CB9C">
        <w:rPr>
          <w:rFonts w:ascii="Calibri" w:eastAsia="Times New Roman" w:hAnsi="Calibri" w:cs="Calibri"/>
          <w:sz w:val="22"/>
          <w:szCs w:val="22"/>
          <w:lang w:val="en-GB"/>
        </w:rPr>
        <w:t>).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2" w:name="_Toc229929343"/>
      <w:r w:rsidRPr="001A7EEE">
        <w:rPr>
          <w:rFonts w:cs="Calibri"/>
        </w:rPr>
        <w:lastRenderedPageBreak/>
        <w:t xml:space="preserve">6.2. </w:t>
      </w:r>
      <w:r w:rsidR="006E2DEF" w:rsidRPr="001A7EEE">
        <w:rPr>
          <w:rFonts w:cs="Calibri"/>
        </w:rPr>
        <w:t>Adverse events that do not require reporting</w:t>
      </w:r>
      <w:bookmarkEnd w:id="4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3" w:name="_Toc229929344"/>
      <w:r w:rsidRPr="001A7EEE">
        <w:t xml:space="preserve">6.3. </w:t>
      </w:r>
      <w:r w:rsidR="006E2DEF" w:rsidRPr="001A7EEE">
        <w:t>Treatment stopping / interruption rules</w:t>
      </w:r>
      <w:bookmarkEnd w:id="4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4" w:name="_Toc229929345"/>
      <w:bookmarkEnd w:id="31"/>
      <w:r w:rsidRPr="00273BD4">
        <w:rPr>
          <w:rFonts w:cs="Calibri"/>
        </w:rPr>
        <w:t>7. Statistics and Data Analysis</w:t>
      </w:r>
      <w:bookmarkEnd w:id="44"/>
    </w:p>
    <w:p w14:paraId="79F4DBCD" w14:textId="772981A5" w:rsidR="00544161" w:rsidRPr="00273BD4" w:rsidRDefault="00544161" w:rsidP="00544161">
      <w:pPr>
        <w:pStyle w:val="Kop2"/>
        <w:rPr>
          <w:rFonts w:cs="Calibri"/>
        </w:rPr>
      </w:pPr>
      <w:bookmarkStart w:id="45" w:name="_Toc229929346"/>
      <w:r w:rsidRPr="00273BD4">
        <w:rPr>
          <w:rFonts w:cs="Calibri"/>
        </w:rPr>
        <w:t>7.1. Statistical analysis plan</w:t>
      </w:r>
      <w:bookmarkEnd w:id="4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The effectiveness of the intervention for the primary endpoint (foot ulcer recurrence) will be evaluated as the percentage of participants experiencing a recurring foot ulcer (any type, plantar, or at high-risk sites), using chi-square analysis. The occurrence of ulcer recurrence over time will be examined using log-rank tests and illustrated with Kaplan–Meier curves, accounting for mortality. Footwear adherence is analysed as a secondary endpoint and as the pre-specified mediator. The between-group difference in adherence will be tested with an independent samples Student’s t-test, assuming the data follow a normal distribution. The mediating role of adherence in the effect of the intervention on ulcer recurrence will be examined in a pre-specified mediation analysis, complemented by a subgroup analysis in which patients are divided into high and low adherence groups on the pre-defined 80% threshold (average adherence over 18 months ≥ 80%).</w:t>
      </w:r>
      <w:r w:rsidRPr="00273BD4">
        <w:rPr>
          <w:rFonts w:ascii="Calibri" w:hAnsi="Calibri" w:cs="Calibri"/>
          <w:b/>
          <w:bCs/>
        </w:rPr>
      </w:r>
      <w:r w:rsidRPr="00273BD4">
        <w:rPr>
          <w:rFonts w:ascii="Calibri" w:hAnsi="Calibri" w:cs="Calibri"/>
        </w:rPr>
      </w:r>
      <w:r w:rsidRPr="00881DB4">
        <w:rPr>
          <w:rFonts w:ascii="Calibri" w:hAnsi="Calibri" w:cs="Calibri"/>
        </w:rPr>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w:t>
      </w:r>
      <w:r w:rsidRPr="001A7EEE">
        <w:rPr>
          <w:rFonts w:ascii="Calibri" w:hAnsi="Calibri" w:cs="Calibri"/>
        </w:rPr>
        <w:lastRenderedPageBreak/>
        <w:t>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1D799533"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w:t>
      </w:r>
      <w:r w:rsidR="00C013C6" w:rsidRPr="001A7EEE">
        <w:rPr>
          <w:rFonts w:ascii="Calibri" w:hAnsi="Calibri" w:cs="Calibri"/>
        </w:rPr>
        <w:t>Attention</w:t>
      </w:r>
      <w:r w:rsidRPr="001A7EEE">
        <w:rPr>
          <w:rFonts w:ascii="Calibri" w:hAnsi="Calibri" w:cs="Calibri"/>
        </w:rPr>
        <w:t xml:space="preserve">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6" w:name="_Toc229929347"/>
      <w:r w:rsidRPr="00273BD4">
        <w:rPr>
          <w:rFonts w:cs="Calibri"/>
        </w:rPr>
        <w:t>8</w:t>
      </w:r>
      <w:r w:rsidR="00204979" w:rsidRPr="00273BD4">
        <w:rPr>
          <w:rFonts w:cs="Calibri"/>
        </w:rPr>
        <w:t>. Data handling</w:t>
      </w:r>
      <w:bookmarkEnd w:id="4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7" w:name="_Toc229929348"/>
      <w:r w:rsidRPr="001A7EEE">
        <w:rPr>
          <w:rFonts w:cs="Calibri"/>
        </w:rPr>
        <w:t>8</w:t>
      </w:r>
      <w:r w:rsidR="00204979" w:rsidRPr="001A7EEE">
        <w:rPr>
          <w:rFonts w:cs="Calibri"/>
        </w:rPr>
        <w:t>.1. General data handling information</w:t>
      </w:r>
      <w:bookmarkEnd w:id="4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206B1134"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Transfer of the pseudonymized data will be performed via a secured method of transfer (such </w:t>
      </w:r>
      <w:r w:rsidR="00317505" w:rsidRPr="001A7EEE">
        <w:rPr>
          <w:rFonts w:ascii="Calibri" w:hAnsi="Calibri" w:cs="Calibri"/>
          <w:sz w:val="22"/>
          <w:szCs w:val="22"/>
          <w:lang w:val="en-GB"/>
        </w:rPr>
        <w:t>as Belnet</w:t>
      </w:r>
      <w:r w:rsidRPr="001A7EEE">
        <w:rPr>
          <w:rFonts w:ascii="Calibri" w:hAnsi="Calibri" w:cs="Calibri"/>
          <w:sz w:val="22"/>
          <w:szCs w:val="22"/>
          <w:lang w:val="en-GB"/>
        </w:rPr>
        <w:t xml:space="preserve"> filesender, Globus or ManGO) considering all applicable security arrangements and regulations (such as the European General Data Protection Regulation). The receiving party will be bound by a contractual agreement to </w:t>
      </w:r>
      <w:r w:rsidR="00317505" w:rsidRPr="001A7EEE">
        <w:rPr>
          <w:rFonts w:ascii="Calibri" w:hAnsi="Calibri" w:cs="Calibri"/>
          <w:sz w:val="22"/>
          <w:szCs w:val="22"/>
          <w:lang w:val="en-GB"/>
        </w:rPr>
        <w:t>always keep the transferred data confidential</w:t>
      </w:r>
      <w:r w:rsidRPr="001A7EEE">
        <w:rPr>
          <w:rFonts w:ascii="Calibri" w:hAnsi="Calibri" w:cs="Calibri"/>
          <w:sz w:val="22"/>
          <w:szCs w:val="22"/>
          <w:lang w:val="en-GB"/>
        </w:rPr>
        <w:t xml:space="preserve">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8" w:name="_Toc229929349"/>
      <w:r w:rsidRPr="00273BD4">
        <w:rPr>
          <w:rFonts w:cs="Calibri"/>
        </w:rPr>
        <w:t>8.2. Confidentiality</w:t>
      </w:r>
      <w:bookmarkEnd w:id="4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49"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4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467FBC3A"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1"/>
    </w:p>
    <w:p w14:paraId="1FE62B9E" w14:textId="0E9B9115"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w:t>
      </w:r>
      <w:r w:rsidR="00317505" w:rsidRPr="001A7EEE">
        <w:rPr>
          <w:rFonts w:ascii="Calibri" w:hAnsi="Calibri" w:cs="Calibri"/>
          <w:sz w:val="22"/>
          <w:szCs w:val="22"/>
          <w:lang w:val="en-GB"/>
        </w:rPr>
        <w:t>always kept at a secured location with restricted access</w:t>
      </w:r>
      <w:r w:rsidRPr="001A7EEE">
        <w:rPr>
          <w:rFonts w:ascii="Calibri" w:hAnsi="Calibri" w:cs="Calibri"/>
          <w:sz w:val="22"/>
          <w:szCs w:val="22"/>
          <w:lang w:val="en-GB"/>
        </w:rPr>
        <w:t xml:space="preserve">.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2" w:name="_Toc229929353"/>
      <w:r w:rsidRPr="00273BD4">
        <w:rPr>
          <w:rFonts w:cs="Calibri"/>
        </w:rPr>
        <w:t>8.</w:t>
      </w:r>
      <w:r w:rsidR="009168CA" w:rsidRPr="00273BD4">
        <w:rPr>
          <w:rFonts w:cs="Calibri"/>
        </w:rPr>
        <w:t>6</w:t>
      </w:r>
      <w:r w:rsidRPr="00273BD4">
        <w:rPr>
          <w:rFonts w:cs="Calibri"/>
        </w:rPr>
        <w:t>. Study specific data handling information</w:t>
      </w:r>
      <w:bookmarkEnd w:id="5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Script PARADISE intervention</w:t>
      </w:r>
    </w:p>
    <w:p w14:paraId="024ECFF7" w14:textId="77777777" w:rsidR="007738CF" w:rsidRDefault="00000000">
      <w:pPr>
        <w:pStyle w:val="Lijstalinea"/>
      </w:pPr>
      <w:r>
        <w:rPr>
          <w:color w:val="EE0000"/>
        </w:rPr>
        <w:t>eCRF-Document 48: Daily Foot Care steps (patient leaflet)</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669A12A4"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 xml:space="preserve">eCRF-Document </w:t>
      </w:r>
      <w:r w:rsidR="00317505" w:rsidRPr="007378D6">
        <w:rPr>
          <w:rFonts w:ascii="Calibri" w:hAnsi="Calibri" w:cs="Calibri"/>
          <w:b/>
          <w:bCs/>
          <w:color w:val="EE0000"/>
          <w:lang w:val="fr-BE"/>
        </w:rPr>
        <w:t>30:</w:t>
      </w:r>
      <w:r w:rsidRPr="007378D6">
        <w:rPr>
          <w:rFonts w:ascii="Calibri" w:hAnsi="Calibri" w:cs="Calibri"/>
          <w:b/>
          <w:bCs/>
          <w:color w:val="EE0000"/>
          <w:lang w:val="fr-BE"/>
        </w:rPr>
        <w:t xml:space="preserve">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Pr="001B0A94" w:rsidRDefault="00000000">
      <w:pPr>
        <w:pStyle w:val="Lijstalinea"/>
        <w:rPr>
          <w:color w:val="EE0000"/>
        </w:rPr>
      </w:pPr>
      <w:r w:rsidRPr="001B0A94">
        <w:rPr>
          <w:color w:val="EE0000"/>
        </w:rP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InterviewGuidePatient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7031BF6F" w14:textId="77777777" w:rsidR="004B7E2D" w:rsidRDefault="00D5624A" w:rsidP="004B7E2D">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C8AB43F" w:rsidR="005D1DDA" w:rsidRPr="004B7E2D" w:rsidRDefault="00000000" w:rsidP="004B7E2D">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eCRF-Document 45-45a-45b: Health-Economic Diary</w:t>
      </w:r>
    </w:p>
    <w:p w14:paraId="6FF8C961" w14:textId="77777777" w:rsidR="00D5624A" w:rsidRPr="004B7E2D" w:rsidRDefault="00D5624A" w:rsidP="00D5624A">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 xml:space="preserve">eCRF-Document 34-35: Medical Consumption and Productivity </w:t>
      </w:r>
    </w:p>
    <w:p w14:paraId="36528E11" w14:textId="77777777" w:rsidR="00D5624A" w:rsidRPr="004B7E2D"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4B7E2D">
        <w:rPr>
          <w:rFonts w:ascii="Calibri" w:eastAsia="Cambria" w:hAnsi="Calibri" w:cs="Calibri"/>
          <w:b/>
          <w:bCs/>
          <w:color w:val="EE0000"/>
          <w:lang w:val="fr-BE"/>
        </w:rPr>
        <w:t>eCRF-Document 42: InterviewGuideTherapeut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3" w:name="_Toc229929354"/>
      <w:r w:rsidRPr="001A7EEE">
        <w:rPr>
          <w:rFonts w:cs="Calibri"/>
        </w:rPr>
        <w:t>8.7. Direct Data Access</w:t>
      </w:r>
      <w:bookmarkEnd w:id="5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4" w:name="_Toc229929355"/>
      <w:r w:rsidRPr="00273BD4">
        <w:rPr>
          <w:rFonts w:cs="Calibri"/>
        </w:rPr>
        <w:t xml:space="preserve">8.8. </w:t>
      </w:r>
      <w:r w:rsidR="005A3CFE" w:rsidRPr="00273BD4">
        <w:rPr>
          <w:rFonts w:cs="Calibri"/>
        </w:rPr>
        <w:t>Oversight and monitoring</w:t>
      </w:r>
      <w:bookmarkEnd w:id="5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5" w:name="_Toc229929356"/>
      <w:r w:rsidRPr="00273BD4">
        <w:rPr>
          <w:rFonts w:cs="Calibri"/>
        </w:rPr>
        <w:t>9. Ethical and Regulatory Considerations</w:t>
      </w:r>
      <w:bookmarkEnd w:id="55"/>
    </w:p>
    <w:p w14:paraId="1A18DD87" w14:textId="6BE44429" w:rsidR="009168CA" w:rsidRPr="00273BD4" w:rsidRDefault="009168CA" w:rsidP="0038180F">
      <w:pPr>
        <w:pStyle w:val="Kop2"/>
        <w:rPr>
          <w:rFonts w:cs="Calibri"/>
        </w:rPr>
      </w:pPr>
      <w:bookmarkStart w:id="56" w:name="_Toc229929357"/>
      <w:r w:rsidRPr="00273BD4">
        <w:rPr>
          <w:rFonts w:cs="Calibri"/>
        </w:rPr>
        <w:t>9.1. Ethics Committee (EC) review &amp; reports</w:t>
      </w:r>
      <w:bookmarkEnd w:id="5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4EFE861A"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 xml:space="preserve">commence at any site until all required ethical approvals have been </w:t>
      </w:r>
      <w:r w:rsidR="004B7E2D" w:rsidRPr="001A7EEE">
        <w:rPr>
          <w:rFonts w:ascii="Calibri" w:hAnsi="Calibri" w:cs="Calibri"/>
          <w:color w:val="000000" w:themeColor="text1"/>
        </w:rPr>
        <w:t>obtained,</w:t>
      </w:r>
      <w:r w:rsidRPr="001A7EEE">
        <w:rPr>
          <w:rFonts w:ascii="Calibri" w:hAnsi="Calibri" w:cs="Calibri"/>
          <w:color w:val="000000" w:themeColor="text1"/>
        </w:rPr>
        <w:t xml:space="preserve">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7" w:name="_Toc229929358"/>
      <w:r w:rsidRPr="00273BD4">
        <w:rPr>
          <w:rFonts w:cs="Calibri"/>
        </w:rPr>
        <w:t>9.2. Protocol/GCP compliance</w:t>
      </w:r>
      <w:bookmarkEnd w:id="5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8" w:name="_Toc229929359"/>
      <w:r w:rsidRPr="001A7EEE">
        <w:rPr>
          <w:rFonts w:cs="Calibri"/>
        </w:rPr>
        <w:t>9.3. Data protection and participant confidentiality</w:t>
      </w:r>
      <w:bookmarkEnd w:id="5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59" w:name="_Toc229929360"/>
      <w:r w:rsidRPr="001A7EEE">
        <w:rPr>
          <w:rFonts w:cs="Calibri"/>
        </w:rPr>
        <w:t>10. Research Registration, Dissemination of Results and Publication Policy</w:t>
      </w:r>
      <w:bookmarkEnd w:id="5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0" w:name="_Toc229929361"/>
      <w:r w:rsidRPr="00273BD4">
        <w:rPr>
          <w:rFonts w:eastAsia="Times New Roman" w:cs="Calibri"/>
        </w:rPr>
        <w:t>11. Insurance/Indemnity</w:t>
      </w:r>
      <w:bookmarkEnd w:id="60"/>
    </w:p>
    <w:p w14:paraId="2FF72D92" w14:textId="55B9964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accordance with the Belgian Law relating to experiments on human persons dated May 7, 2004, the Sponsor will assume, even without fault, the responsibility of any damages incurred by a Study Patient and linked directly or indirectly to the participation to the </w:t>
      </w:r>
      <w:r w:rsidR="004B7E2D" w:rsidRPr="001A7EEE">
        <w:rPr>
          <w:rFonts w:ascii="Calibri" w:hAnsi="Calibri" w:cs="Calibri"/>
          <w:sz w:val="22"/>
          <w:szCs w:val="22"/>
          <w:lang w:val="en-GB"/>
        </w:rPr>
        <w:t>Study and</w:t>
      </w:r>
      <w:r w:rsidRPr="001A7EEE">
        <w:rPr>
          <w:rFonts w:ascii="Calibri" w:hAnsi="Calibri" w:cs="Calibri"/>
          <w:sz w:val="22"/>
          <w:szCs w:val="22"/>
          <w:lang w:val="en-GB"/>
        </w:rPr>
        <w:t xml:space="preserve"> will provide compensation therefore through its insurance.</w:t>
      </w:r>
    </w:p>
    <w:p w14:paraId="594FA1CF" w14:textId="7EE180A5" w:rsidR="007B03BE" w:rsidRPr="00317505" w:rsidRDefault="007B03BE" w:rsidP="00317505">
      <w:pPr>
        <w:pStyle w:val="Kop1"/>
        <w:rPr>
          <w:rFonts w:eastAsia="Times New Roman"/>
        </w:rPr>
      </w:pPr>
      <w:bookmarkStart w:id="61" w:name="_Toc229929362"/>
      <w:r w:rsidRPr="00273BD4">
        <w:rPr>
          <w:rFonts w:eastAsia="Times New Roman"/>
        </w:rPr>
        <w:t>12. References</w:t>
      </w:r>
      <w:bookmarkEnd w:id="61"/>
    </w:p>
    <w:p w14:paraId="41349C7E" w14:textId="77777777" w:rsidR="00AC160C" w:rsidRDefault="00000000">
      <w:r w:rsidRPr="00A6550D">
        <w:rPr>
          <w:color w:val="000000"/>
        </w:rPr>
        <w:t>1. Bus SA, Sacco ICN, Monteiro-Soares M, Raspovic A, Paton J, Rasmussen A, et al. Guidelines on the prevention of foot ulcers in persons with diabetes (IWGDF 2023 update). Diabetes Metab Res Rev. 2024;40(3):e3651. doi:10.1002/dmrr.3651</w:t>
      </w:r>
    </w:p>
    <w:p w14:paraId="1A646405" w14:textId="77777777" w:rsidR="00AC160C" w:rsidRDefault="00000000">
      <w:r>
        <w:rPr>
          <w:color w:val="000000"/>
        </w:rPr>
        <w:t>2. Whiting DR, Guariguata L, Weil C, Shaw J. IDF diabetes atlas: global estimates of the prevalence of diabetes for 2011 and 2030. Diabetes research and clinical practice. 2011;94(3):311-21. doi:10.1016/j.diabres.2011.10.029</w:t>
      </w:r>
    </w:p>
    <w:p w14:paraId="185DC9EB" w14:textId="77777777" w:rsidR="00AC160C" w:rsidRPr="00317505" w:rsidRDefault="00000000">
      <w:pPr>
        <w:rPr>
          <w:lang w:val="nl-BE"/>
        </w:rPr>
      </w:pPr>
      <w:r>
        <w:rPr>
          <w:color w:val="000000"/>
        </w:rPr>
        <w:t xml:space="preserve">3. Ragnarson T, Apelqvist J. Health-related quality of life in patients with diabetes mellitus and foot ulcers. </w:t>
      </w:r>
      <w:r w:rsidRPr="00A6550D">
        <w:rPr>
          <w:color w:val="000000"/>
          <w:lang w:val="nl-BE"/>
        </w:rPr>
        <w:t>J. Diabetes Complications. 2000;14(5):235-241.</w:t>
      </w:r>
    </w:p>
    <w:p w14:paraId="6117F564" w14:textId="77777777" w:rsidR="00AC160C" w:rsidRDefault="00000000">
      <w:r w:rsidRPr="00317505">
        <w:rPr>
          <w:color w:val="000000"/>
          <w:lang w:val="nl-BE"/>
        </w:rPr>
        <w:t xml:space="preserve">4. Apelqvist J, Bakker K, van Houtum WH, Schaper NC. </w:t>
      </w:r>
      <w:r w:rsidRPr="00A6550D">
        <w:rPr>
          <w:color w:val="000000"/>
        </w:rPr>
        <w:t>Practical guidelines on the management and prevention of the diabetic foot: based upon the International Consensus on the Diabetic Foot (2007). Diabetes Metab Res Rev. 2008;24(Suppl 1):S181-S187. doi:10.1002/dmrr.848</w:t>
      </w:r>
    </w:p>
    <w:p w14:paraId="6F2DDFEE" w14:textId="77777777" w:rsidR="00AC160C" w:rsidRDefault="00000000">
      <w:r>
        <w:rPr>
          <w:color w:val="000000"/>
        </w:rPr>
        <w:t>5. Zhang Y, Lazzarini P, McPhail S, van Netten J, Armstrong D, Pacella R. Global Disability Burdens of Diabetes-Related Lower-Extremity Complications in 1990 and 2016. Diabetes Care. 2020;43:964-974.</w:t>
      </w:r>
    </w:p>
    <w:p w14:paraId="4DF4AF29" w14:textId="77777777" w:rsidR="00AC160C" w:rsidRDefault="00000000">
      <w:r>
        <w:rPr>
          <w:color w:val="000000"/>
        </w:rPr>
        <w:t>6. Armstrong D, Boulton A, Bus S. Diabetic Foot Ulcers and Their Recurrence. N. Engl. J. Med. 2017;376:2367-2375.</w:t>
      </w:r>
    </w:p>
    <w:p w14:paraId="3EF0A1EB" w14:textId="77777777" w:rsidR="00AC160C" w:rsidRPr="00A6550D" w:rsidRDefault="00000000">
      <w:pPr>
        <w:rPr>
          <w:lang w:val="nl-BE"/>
        </w:rPr>
      </w:pPr>
      <w:r>
        <w:rPr>
          <w:color w:val="000000"/>
        </w:rPr>
        <w:t xml:space="preserve">7. Tchero H, Kangambega P, Lin L, Mukisi-Mukaza M, Brunet-Houdard S, Briatte C, et al. Cost of diabetic foot in France, Spain, Italy, Germany and United Kingdom: A systematic review. </w:t>
      </w:r>
      <w:r w:rsidRPr="00A6550D">
        <w:rPr>
          <w:color w:val="000000"/>
          <w:lang w:val="nl-BE"/>
        </w:rPr>
        <w:t>Annales d'Endocrinologie. 2018;79(2):67-74. doi:10.1016/j.ando.2017.11.005</w:t>
      </w:r>
    </w:p>
    <w:p w14:paraId="30808F09" w14:textId="77777777" w:rsidR="00AC160C" w:rsidRDefault="00000000">
      <w:r w:rsidRPr="00A6550D">
        <w:rPr>
          <w:color w:val="000000"/>
          <w:lang w:val="nl-BE"/>
        </w:rPr>
        <w:t xml:space="preserve">8. Van Acker K, Oleen-Burkey M, De Decker L, Vanmaele R, Van Schil P, Matricali G, et al. </w:t>
      </w:r>
      <w:r>
        <w:rPr>
          <w:color w:val="000000"/>
        </w:rPr>
        <w:t>Cost and resource utilization for prevention and treatment of foot lesions in a diabetic foot clinic in Belgium. Diabetes Res Clin Pract. 2000;50(2):87-95. doi:10.1016/s0168-8227(00)00157-1</w:t>
      </w:r>
    </w:p>
    <w:p w14:paraId="4EFC1DDE" w14:textId="77777777" w:rsidR="00AC160C" w:rsidRDefault="00000000">
      <w:r>
        <w:rPr>
          <w:color w:val="000000"/>
        </w:rPr>
        <w:t>9. van Netten J, Raspovic A, Lavery L, Monteiro-Soares M, Rasmussen A, Sacco I, et al. Prevention of foot ulcers in the at-risk patient with diabetes: A systematic review. Diabetes Metab. Res. Rev. 2020;36:e3270.</w:t>
      </w:r>
    </w:p>
    <w:p w14:paraId="3912A012" w14:textId="77777777" w:rsidR="00AC160C" w:rsidRDefault="00000000">
      <w:r>
        <w:rPr>
          <w:color w:val="000000"/>
        </w:rPr>
        <w:t>10. van Netten JJ, Bus SA, Apelqvist J, Chen P, Chuter V, Fitridge R, et al. Definitions and criteria for diabetes-related foot disease (IWGDF 2023 update). Diabetes/Metabolism Research and Reviews. 2024;40(3). doi:10.1002/dmrr.3654</w:t>
      </w:r>
    </w:p>
    <w:p w14:paraId="1A93A4E3" w14:textId="77777777" w:rsidR="00AC160C" w:rsidRDefault="00000000">
      <w:r>
        <w:rPr>
          <w:color w:val="000000"/>
        </w:rPr>
        <w:lastRenderedPageBreak/>
        <w:t>11. Doggen K, Van Acker K, Beele H, Dumont I, Félix P, Lauwers P, et al. Implementation of a quality improvement initiative in Belgian diabetic foot clinic: feasability and initial results. Diabetes/Metabolism Research and Reviews. 2014;30(5):435-443.</w:t>
      </w:r>
    </w:p>
    <w:p w14:paraId="2D2963D8" w14:textId="77777777" w:rsidR="00AC160C" w:rsidRDefault="00000000">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14:paraId="27E824F8" w14:textId="77777777" w:rsidR="00AC160C" w:rsidRDefault="00000000">
      <w:r>
        <w:rPr>
          <w:color w:val="000000"/>
        </w:rPr>
        <w:t xml:space="preserve">13. Todorova K, Buyle M, Vanherwegen A, Jirari A, Aerden D, De Bruyne S, et al. </w:t>
      </w:r>
      <w:r w:rsidRPr="00A6550D">
        <w:rPr>
          <w:color w:val="000000"/>
          <w:lang w:val="nl-BE"/>
        </w:rPr>
        <w:t xml:space="preserve">Initiatief voor Kwaliteitsbevordering en Epidemiologie bij Multidisciplinaire Diabetes Voetklinieken (IKED-Voet). </w:t>
      </w:r>
      <w:r>
        <w:rPr>
          <w:color w:val="000000"/>
        </w:rPr>
        <w:t>Resultaten van de 8de gegevensverzameling (auditjaren 2022-2023). 2025.</w:t>
      </w:r>
    </w:p>
    <w:p w14:paraId="0FDF0D39" w14:textId="77777777" w:rsidR="00AC160C" w:rsidRDefault="00000000">
      <w:r>
        <w:rPr>
          <w:color w:val="000000"/>
        </w:rPr>
        <w:t>14. Barn R, Waaijman R, Nollet F, Woodburn J, Bus S. Predictors of barefoot plantar pressure during walking in patients with diabetes, peripheral neuropathy and a history of ulceration. Plos One. 2015;10(2).</w:t>
      </w:r>
    </w:p>
    <w:p w14:paraId="7B0AEFFD" w14:textId="77777777" w:rsidR="00AC160C" w:rsidRPr="00317505" w:rsidRDefault="00000000">
      <w:pPr>
        <w:rPr>
          <w:lang w:val="nl-BE"/>
        </w:rPr>
      </w:pPr>
      <w:r>
        <w:rPr>
          <w:color w:val="000000"/>
        </w:rPr>
        <w:t xml:space="preserve">15. Fernando M, Crowther R, Pappas E, Lazzarini P, Cunningham M, Sangla K. Plantar pressure in diabetic peripheral neuropathy patients with active foot ulceration, previous ulceration and no history of ulceration: a meta-analysis of observational studies. </w:t>
      </w:r>
      <w:r w:rsidRPr="00A6550D">
        <w:rPr>
          <w:color w:val="000000"/>
          <w:lang w:val="nl-BE"/>
        </w:rPr>
        <w:t>PLoS One. 2014;9(6).</w:t>
      </w:r>
    </w:p>
    <w:p w14:paraId="6DA5A429" w14:textId="77777777" w:rsidR="00AC160C" w:rsidRDefault="00000000">
      <w:r w:rsidRPr="00317505">
        <w:rPr>
          <w:color w:val="000000"/>
          <w:lang w:val="nl-BE"/>
        </w:rPr>
        <w:t xml:space="preserve">16. Bus S, van Netten J, Hinchliffe R, Apelqvist J, Lipsky B, Schaper N, et al. </w:t>
      </w:r>
      <w:r w:rsidRPr="00A6550D">
        <w:rPr>
          <w:color w:val="000000"/>
        </w:rPr>
        <w:t>Standards for the development and methodology of the 2019 International Working Group on the Diabetic Foot guidelines. Diabetes Metab Res Rev. 2020;36.</w:t>
      </w:r>
    </w:p>
    <w:p w14:paraId="06979E6D" w14:textId="77777777" w:rsidR="00AC160C" w:rsidRPr="00317505" w:rsidRDefault="00000000">
      <w:pPr>
        <w:rPr>
          <w:lang w:val="nl-BE"/>
        </w:rPr>
      </w:pPr>
      <w:r>
        <w:rPr>
          <w:color w:val="000000"/>
        </w:rPr>
        <w:t xml:space="preserve">17. Bus S, Haspels R, Busch-Westbroek T. Evaluation and optimization of therapeutic footwear for neuropathic diabetic foot patients using in-shoe plantar pressure analysis. </w:t>
      </w:r>
      <w:r w:rsidRPr="00A6550D">
        <w:rPr>
          <w:color w:val="000000"/>
          <w:lang w:val="nl-BE"/>
        </w:rPr>
        <w:t>Diabetes Care. 2011;34:1595-1600.</w:t>
      </w:r>
    </w:p>
    <w:p w14:paraId="01A573DF" w14:textId="77777777" w:rsidR="00AC160C" w:rsidRDefault="00000000">
      <w:r w:rsidRPr="00317505">
        <w:rPr>
          <w:color w:val="000000"/>
          <w:lang w:val="nl-BE"/>
        </w:rPr>
        <w:t xml:space="preserve">18. Bus S, Waaijman R, Arts M, de Haart M, Busch-Westbroek T, van Baal J, et al. </w:t>
      </w:r>
      <w:r w:rsidRPr="00A6550D">
        <w:rPr>
          <w:color w:val="000000"/>
        </w:rPr>
        <w:t>Effect of custom-made footwear on foot ulcer recurrence in diabetes: a multicenter randomized controlled trial. Diabetes Care. 2013;36:4109-4116. doi:10.2337/dc13-0996</w:t>
      </w:r>
    </w:p>
    <w:p w14:paraId="435AF54C" w14:textId="77777777" w:rsidR="00AC160C" w:rsidRDefault="00000000">
      <w:r>
        <w:rPr>
          <w:color w:val="000000"/>
        </w:rPr>
        <w:t>19. Zwaferink JBJ, Nollet F, Bus SA. In-Shoe Pressure Measurements in Diabetic Footwear Practice: Success Rate and Facilitators of and Barriers to Implementation. Sensors. 2024;24(6). doi:10.3390/s24061795</w:t>
      </w:r>
    </w:p>
    <w:p w14:paraId="138142CC" w14:textId="77777777" w:rsidR="00AC160C" w:rsidRDefault="00000000">
      <w:r>
        <w:rPr>
          <w:color w:val="000000"/>
        </w:rPr>
        <w:t>20. Bus SA, Zwaferink JB, Dahmen R, Busch-Westbroek T. State of the art design protocol for custom made footwear for people with diabetes and peripheral neuropathy. Diabetes/Metabolism Research and Reviews. 2020;36(S1). doi:10.1002/dmrr.3237</w:t>
      </w:r>
    </w:p>
    <w:p w14:paraId="60EC5769" w14:textId="77777777" w:rsidR="00AC160C" w:rsidRDefault="00000000">
      <w:r>
        <w:rPr>
          <w:color w:val="000000"/>
        </w:rPr>
        <w:t>21. Lopes GSG, Landeiro MJL, Maciel T, de Sousa MRMGC. Clinical practice guidelines of foot care practice for patients with type 2 diabetes: A scoping review using self-care model. Contemporary Nurse. 2024;60(5):516-536. doi:10.1080/10376178.2024.2362289</w:t>
      </w:r>
    </w:p>
    <w:p w14:paraId="65E24609" w14:textId="77777777" w:rsidR="00AC160C" w:rsidRDefault="00000000">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14:paraId="34A5C0E1" w14:textId="77777777" w:rsidR="00AC160C" w:rsidRDefault="00000000">
      <w:r>
        <w:rPr>
          <w:color w:val="000000"/>
        </w:rPr>
        <w:t>23. Menz H, Bonnano D. Objective measurement of adherence to wearing foot orthoses using an embedded temperature sensor. Medical Engineering and physics. 2021;88:19-24.</w:t>
      </w:r>
    </w:p>
    <w:p w14:paraId="55E54A02" w14:textId="77777777" w:rsidR="00AC160C" w:rsidRDefault="00000000">
      <w:r>
        <w:rPr>
          <w:color w:val="000000"/>
        </w:rPr>
        <w:lastRenderedPageBreak/>
        <w:t>24. Maas J, Dallmeijer A, Oudshoorn B, Bolster E, Huijing P, Jaspers R, et al. Measuring wearing time of knee-ankle-foot orthoses in children with cerebral palsy: comparison of parent-report and objective measurement. Disability and Rehabilitation. 2018;40(4):398-403.</w:t>
      </w:r>
    </w:p>
    <w:p w14:paraId="58551980" w14:textId="77777777" w:rsidR="00AC160C" w:rsidRDefault="00000000">
      <w:r>
        <w:rPr>
          <w:color w:val="000000"/>
        </w:rPr>
        <w:t>25. Lutjeboer T, van Netten JJ, Postema K, Hijmans JM. Validity and feasibility of a temperature sensor for measuring use and non-use of orthopaedic footwear. J Rehabil Med. 2018;50:920-926.</w:t>
      </w:r>
    </w:p>
    <w:p w14:paraId="53C0171E" w14:textId="77777777" w:rsidR="00AC160C" w:rsidRDefault="00000000">
      <w:r>
        <w:rPr>
          <w:color w:val="000000"/>
        </w:rPr>
        <w:t>26. Gustav J, Tranberg R, Johansson U, Alnem J. Predictors of adherence to wearing therapeutic footwear among people with diabetes. Journal of Foot and Ankle Research. 2020;13(45).</w:t>
      </w:r>
    </w:p>
    <w:p w14:paraId="0B43CF04" w14:textId="77777777" w:rsidR="00AC160C" w:rsidRDefault="00000000">
      <w:r>
        <w:rPr>
          <w:color w:val="000000"/>
        </w:rPr>
        <w:t>27. Keukenkamp R, van Netten JJ, Busch-Westbroek TE, Bus SA. Custom-made footwear designed for indoor use increases short-term and long-term adherence in people with diabetes at high ulcer risk. BMJ Open Diabetes Research and Care. 2022;10(1). doi:10.1136/bmjdrc-2021-002593</w:t>
      </w:r>
    </w:p>
    <w:p w14:paraId="43697C42" w14:textId="77777777" w:rsidR="00AC160C" w:rsidRDefault="00000000">
      <w:r>
        <w:rPr>
          <w:color w:val="000000"/>
        </w:rPr>
        <w:t>28. National Institute for Health and Care Excellence (NICE). Diabetic foot problems: prevention and management. NICE guideline NG19. 2015. https://www.nice.org.uk/guidance/ng19</w:t>
      </w:r>
    </w:p>
    <w:p w14:paraId="40D0C578" w14:textId="77777777" w:rsidR="00AC160C" w:rsidRDefault="00000000">
      <w:r>
        <w:rPr>
          <w:color w:val="000000"/>
        </w:rPr>
        <w:t>29. van Netten JJ, Raspovic A, Lavery LA, Monteiro-Soares M, Paton J, Rasmussen A, et al. Prevention of foot ulcers in persons with diabetes at risk of ulceration: A systematic review and meta-analysis. Diabetes/Metabolism Research and Reviews. 2024;40(3). doi:10.1002/dmrr.3652</w:t>
      </w:r>
    </w:p>
    <w:p w14:paraId="2434701A" w14:textId="77777777" w:rsidR="00AC160C" w:rsidRDefault="00000000">
      <w:r>
        <w:rPr>
          <w:color w:val="000000"/>
        </w:rPr>
        <w:t>30. Jarl G, van Netten J, Lazzarini P. Fragile Feet and Trivial Trauma. Journal of the American Podiatric Medical Association. 2023;113(1).</w:t>
      </w:r>
    </w:p>
    <w:p w14:paraId="0ABD5151" w14:textId="77777777" w:rsidR="00AC160C" w:rsidRPr="00317505" w:rsidRDefault="00000000">
      <w:pPr>
        <w:rPr>
          <w:lang w:val="nl-BE"/>
        </w:rPr>
      </w:pPr>
      <w:r>
        <w:rPr>
          <w:color w:val="000000"/>
        </w:rPr>
        <w:t xml:space="preserve">31. Michie S, van Stralen MM, West R. The behaviour change wheel: a new method for characterising and designing behaviour change interventions. </w:t>
      </w:r>
      <w:r w:rsidRPr="00A6550D">
        <w:rPr>
          <w:color w:val="000000"/>
          <w:lang w:val="nl-BE"/>
        </w:rPr>
        <w:t>Implement Sci. 2011;6:42. doi:10.1186/1748-5908-6-42</w:t>
      </w:r>
    </w:p>
    <w:p w14:paraId="1BE548ED" w14:textId="77777777" w:rsidR="00AC160C" w:rsidRDefault="00000000">
      <w:r w:rsidRPr="00317505">
        <w:rPr>
          <w:color w:val="000000"/>
          <w:lang w:val="nl-BE"/>
        </w:rPr>
        <w:t xml:space="preserve">32. Perrin BM, van Netten JJ, aan de Stegge WB, Busch-Westbroek TE, Bus SA. </w:t>
      </w:r>
      <w:r w:rsidRPr="00A6550D">
        <w:rPr>
          <w:color w:val="000000"/>
        </w:rPr>
        <w:t>Health-related quality of life and associated factors in people with diabetes at high risk of foot ulceration. Journal of Foot and Ankle Research. 2022;15(1). doi:10.1186/s13047-022-00586-9</w:t>
      </w:r>
    </w:p>
    <w:p w14:paraId="462B5DED" w14:textId="77777777" w:rsidR="00AC160C" w:rsidRDefault="00000000">
      <w:r>
        <w:rPr>
          <w:color w:val="000000"/>
        </w:rPr>
        <w:t>33. van Netten J. Prevention of foot ulcers in the at-risk patient with diabetes: a systematic review. Diabetes Metab Research. 2016;32(1):84-98.</w:t>
      </w:r>
    </w:p>
    <w:p w14:paraId="08BF1EEC" w14:textId="77777777" w:rsidR="00AC160C" w:rsidRDefault="00000000">
      <w:r>
        <w:rPr>
          <w:color w:val="000000"/>
        </w:rPr>
        <w:t>34. Dahmen R, Siemonsma PC, Monteiro S, Norman G.R., Boers M, Lankhorst GJ, et al. Evaluation of the wear-and-tear scale for therapeutic footwear, results of a generalizability study. J Rehabil Med. 2018:569-574. doi:10.2340/16501977-2339</w:t>
      </w:r>
    </w:p>
    <w:p w14:paraId="271204B3" w14:textId="77777777" w:rsidR="00AC160C" w:rsidRPr="00317505" w:rsidRDefault="00000000">
      <w:pPr>
        <w:rPr>
          <w:lang w:val="nl-BE"/>
        </w:rPr>
      </w:pPr>
      <w:r>
        <w:rPr>
          <w:color w:val="000000"/>
        </w:rPr>
        <w:t xml:space="preserve">35. Lincoln NB, Jeffcoate WJ, Ince P, Smith M, Radford KA. Validation of a new measure of protective footcare behaviour: The Nottingham Assessment of Functional Footcare (NAFF). </w:t>
      </w:r>
      <w:r w:rsidRPr="00A6550D">
        <w:rPr>
          <w:color w:val="000000"/>
          <w:lang w:val="nl-BE"/>
        </w:rPr>
        <w:t>Practical Diabetes International. 2007;24(4):207-211. doi:10.1002/pdi.1099</w:t>
      </w:r>
    </w:p>
    <w:p w14:paraId="794B0D02" w14:textId="77777777" w:rsidR="00AC160C" w:rsidRPr="00317505" w:rsidRDefault="00000000">
      <w:pPr>
        <w:rPr>
          <w:lang w:val="nl-BE"/>
        </w:rPr>
      </w:pPr>
      <w:r w:rsidRPr="00317505">
        <w:rPr>
          <w:color w:val="000000"/>
          <w:lang w:val="nl-BE"/>
        </w:rPr>
        <w:t>36. Hakkaart-van Roijen L, Peeters S, Kanters T. Kostenhandleiding voor economische evaluaties in de gezondheidszorg: methodologie en referentieprijzen. Diemen: Zorginstituut Nederland; 2024.</w:t>
      </w:r>
    </w:p>
    <w:p w14:paraId="4F3EF897" w14:textId="77777777" w:rsidR="00AC160C" w:rsidRDefault="00000000">
      <w:r w:rsidRPr="00A6550D">
        <w:rPr>
          <w:color w:val="000000"/>
          <w:lang w:val="nl-BE"/>
        </w:rPr>
        <w:t xml:space="preserve">37. Jeffcoate WJ, Bus SA, Game FL, Hinchliffe RJ, Price PE, Schaper NC. </w:t>
      </w:r>
      <w:r>
        <w:rPr>
          <w:color w:val="000000"/>
        </w:rPr>
        <w:t>Reporting standards of studies and papers on the prevention and management of foot ulcers in diabetes: required details and markers of good quality. The Lancet Diabetes and Endocrinology. 2016;4(9):781-788. doi:10.1016/S2213-8587(16)30012-2</w:t>
      </w:r>
    </w:p>
    <w:p w14:paraId="3DD3A43A" w14:textId="77777777" w:rsidR="00AC160C" w:rsidRDefault="00000000">
      <w:r>
        <w:rPr>
          <w:color w:val="000000"/>
        </w:rPr>
        <w:lastRenderedPageBreak/>
        <w:t>38. Monteiro-Soares M, Hamilton EJ, Russell DA, Srisawasdi G, Boyko EJ, Mills JL, et al. Guidelines on the classification of foot ulcers in people with diabetes (IWGDF 2023 update). Diabetes/Metabolism Research and Reviews. 2024;40(3). doi:10.1002/dmrr.3648</w:t>
      </w:r>
    </w:p>
    <w:p w14:paraId="7B502A12" w14:textId="77777777" w:rsidR="00AC160C" w:rsidRDefault="00000000">
      <w:r>
        <w:rPr>
          <w:color w:val="000000"/>
        </w:rPr>
        <w:t>39. Sørensen K, Van Den Broucke S, Pelikan JM, Fullam J, Doyle G, Slonska Z, et al. Measuring health literacy in populations: Illuminating the design and development process of the European Health Literacy Survey Questionnaire (HLS-EU-Q). BMC Public Health. 2013;13(1). doi:10.1186/1471-2458-13-948</w:t>
      </w:r>
    </w:p>
    <w:p w14:paraId="4D6AEF0C" w14:textId="77777777" w:rsidR="00AC160C" w:rsidRDefault="00000000">
      <w:r>
        <w:rPr>
          <w:color w:val="000000"/>
        </w:rPr>
        <w:t>40. van Netten JJ, Hijmans JH, Jannink MJA, Geertzen JHB, Postema K. Development and reproducibility of a short questionnaire to measure use and usability of custom-made orthopaedic shoes. J Rehabil Med. 2009;41:913-918.</w:t>
      </w:r>
    </w:p>
    <w:p w14:paraId="1A61789A" w14:textId="77777777" w:rsidR="00AC160C" w:rsidRDefault="00000000">
      <w:r>
        <w:rPr>
          <w:color w:val="000000"/>
        </w:rPr>
        <w:t>41. Staniszewska A, Game F, Nixon J, Russell D, Armstrong DG, Ashmore C, et al. Development of a core outcome set for studies assessing interventions for diabetes-related foot ulceration. Diabetes Care. 2024;47(11):1958-1968. doi:10.2337/dc24-1112</w:t>
      </w:r>
    </w:p>
    <w:p w14:paraId="285C6C3C" w14:textId="77777777" w:rsidR="00AC160C" w:rsidRDefault="00000000">
      <w:r>
        <w:rPr>
          <w:color w:val="000000"/>
        </w:rPr>
        <w:t>42. Staniszewska A, Jones A, Davies L, Game F, Nixon J, Russell D, et al. Development of a core descriptor set for studies assessing interventions for diabetes-related foot ulceration. Diabetologia. 2026. doi:10.1007/s00125-026-06815-1</w:t>
      </w:r>
    </w:p>
    <w:sectPr w:rsidR="00AC160C">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EE9A6" w14:textId="77777777" w:rsidR="003A32C8" w:rsidRDefault="003A32C8" w:rsidP="009D7BE7">
      <w:pPr>
        <w:spacing w:after="0" w:line="240" w:lineRule="auto"/>
      </w:pPr>
      <w:r>
        <w:separator/>
      </w:r>
    </w:p>
  </w:endnote>
  <w:endnote w:type="continuationSeparator" w:id="0">
    <w:p w14:paraId="29145FC9" w14:textId="77777777" w:rsidR="003A32C8" w:rsidRDefault="003A32C8"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17851" w14:textId="77777777" w:rsidR="003A32C8" w:rsidRDefault="003A32C8" w:rsidP="009D7BE7">
      <w:pPr>
        <w:spacing w:after="0" w:line="240" w:lineRule="auto"/>
      </w:pPr>
      <w:r>
        <w:separator/>
      </w:r>
    </w:p>
  </w:footnote>
  <w:footnote w:type="continuationSeparator" w:id="0">
    <w:p w14:paraId="5E88382E" w14:textId="77777777" w:rsidR="003A32C8" w:rsidRDefault="003A32C8"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5A"/>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678CA"/>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0A94"/>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46B4"/>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3EFC"/>
    <w:rsid w:val="002359B6"/>
    <w:rsid w:val="00236B83"/>
    <w:rsid w:val="002430D8"/>
    <w:rsid w:val="0024441F"/>
    <w:rsid w:val="002501EF"/>
    <w:rsid w:val="00250FD7"/>
    <w:rsid w:val="002525B1"/>
    <w:rsid w:val="00253885"/>
    <w:rsid w:val="00254D32"/>
    <w:rsid w:val="00256D77"/>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2F07"/>
    <w:rsid w:val="002A782A"/>
    <w:rsid w:val="002A7AAB"/>
    <w:rsid w:val="002A7C37"/>
    <w:rsid w:val="002B4260"/>
    <w:rsid w:val="002B4B99"/>
    <w:rsid w:val="002B4DE3"/>
    <w:rsid w:val="002B4DF1"/>
    <w:rsid w:val="002B7A0F"/>
    <w:rsid w:val="002C066A"/>
    <w:rsid w:val="002C30BF"/>
    <w:rsid w:val="002C7B2B"/>
    <w:rsid w:val="002D0E3F"/>
    <w:rsid w:val="002D15E1"/>
    <w:rsid w:val="002D2D39"/>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1750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32C8"/>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5891"/>
    <w:rsid w:val="00457DD4"/>
    <w:rsid w:val="00461175"/>
    <w:rsid w:val="004611D6"/>
    <w:rsid w:val="004630E2"/>
    <w:rsid w:val="00464EF4"/>
    <w:rsid w:val="00466DDB"/>
    <w:rsid w:val="00467950"/>
    <w:rsid w:val="004710CB"/>
    <w:rsid w:val="004726BD"/>
    <w:rsid w:val="004767F5"/>
    <w:rsid w:val="00476DF2"/>
    <w:rsid w:val="00482D5B"/>
    <w:rsid w:val="00485F6D"/>
    <w:rsid w:val="0048634C"/>
    <w:rsid w:val="00491C14"/>
    <w:rsid w:val="00496ABE"/>
    <w:rsid w:val="004A1D7A"/>
    <w:rsid w:val="004A2946"/>
    <w:rsid w:val="004A67BD"/>
    <w:rsid w:val="004A6863"/>
    <w:rsid w:val="004B51E2"/>
    <w:rsid w:val="004B5CED"/>
    <w:rsid w:val="004B5FE0"/>
    <w:rsid w:val="004B663A"/>
    <w:rsid w:val="004B6C96"/>
    <w:rsid w:val="004B6DD4"/>
    <w:rsid w:val="004B7E2D"/>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107C"/>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31"/>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A786B"/>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55E38"/>
    <w:rsid w:val="007627FE"/>
    <w:rsid w:val="00763FF8"/>
    <w:rsid w:val="0076516B"/>
    <w:rsid w:val="00765722"/>
    <w:rsid w:val="00766CF8"/>
    <w:rsid w:val="0076773C"/>
    <w:rsid w:val="00767783"/>
    <w:rsid w:val="00772A15"/>
    <w:rsid w:val="007738CF"/>
    <w:rsid w:val="00780D06"/>
    <w:rsid w:val="00781664"/>
    <w:rsid w:val="00782932"/>
    <w:rsid w:val="00790065"/>
    <w:rsid w:val="007910F6"/>
    <w:rsid w:val="00793CF2"/>
    <w:rsid w:val="007A7835"/>
    <w:rsid w:val="007B03BE"/>
    <w:rsid w:val="007B0A95"/>
    <w:rsid w:val="007B3BEC"/>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5B72"/>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4345"/>
    <w:rsid w:val="00A6550D"/>
    <w:rsid w:val="00A65CA7"/>
    <w:rsid w:val="00A67D4F"/>
    <w:rsid w:val="00A71310"/>
    <w:rsid w:val="00A730D2"/>
    <w:rsid w:val="00A73F1E"/>
    <w:rsid w:val="00A750C1"/>
    <w:rsid w:val="00A7579C"/>
    <w:rsid w:val="00A7611B"/>
    <w:rsid w:val="00A804A2"/>
    <w:rsid w:val="00A81ED8"/>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160C"/>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1C6C"/>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5E"/>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6C11"/>
    <w:rsid w:val="00B9706F"/>
    <w:rsid w:val="00BA4F50"/>
    <w:rsid w:val="00BA7EBA"/>
    <w:rsid w:val="00BB0161"/>
    <w:rsid w:val="00BB03DE"/>
    <w:rsid w:val="00BB5DB4"/>
    <w:rsid w:val="00BB75F5"/>
    <w:rsid w:val="00BC0136"/>
    <w:rsid w:val="00BC28C0"/>
    <w:rsid w:val="00BC2A1F"/>
    <w:rsid w:val="00BC3BE8"/>
    <w:rsid w:val="00BC4BEA"/>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13C6"/>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28DC"/>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10C"/>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419"/>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48B"/>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4474C7"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3EFC"/>
    <w:rsid w:val="00236B83"/>
    <w:rsid w:val="002E5FF4"/>
    <w:rsid w:val="00354C23"/>
    <w:rsid w:val="003B294D"/>
    <w:rsid w:val="0041130A"/>
    <w:rsid w:val="004474C7"/>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7131F"/>
    <w:rsid w:val="00D850FD"/>
    <w:rsid w:val="00DB5B56"/>
    <w:rsid w:val="00E06B65"/>
    <w:rsid w:val="00E12F4B"/>
    <w:rsid w:val="00E53EE0"/>
    <w:rsid w:val="00E7233D"/>
    <w:rsid w:val="00E75237"/>
    <w:rsid w:val="00EA218A"/>
    <w:rsid w:val="00EE798F"/>
    <w:rsid w:val="00FD5F06"/>
    <w:rsid w:val="00FF148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19523</Words>
  <Characters>107382</Characters>
  <Application>Microsoft Office Word</Application>
  <DocSecurity>0</DocSecurity>
  <Lines>894</Lines>
  <Paragraphs>253</Paragraphs>
  <ScaleCrop>false</ScaleCrop>
  <Company/>
  <LinksUpToDate>false</LinksUpToDate>
  <CharactersWithSpaces>126652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108</cp:revision>
  <dcterms:created xsi:type="dcterms:W3CDTF">2026-04-01T07:04:00Z</dcterms:created>
  <dcterms:modified xsi:type="dcterms:W3CDTF">2026-08-05T12:25:00Z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