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 or the adherence sensor embedded in the orthosis.</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footwear and sensor acceptance criteria operationalise the practical precondition for the primary outcome and its mediator to be measurable: without the embedded sensor, adherence cannot be measured and the wear-time target cannot be verified.</w:t>
      </w:r>
      <w:r w:rsidR="003E0E65">
        <w:rPr>
          <w:color w:val="000000"/>
          <w:lang w:val="en-GB"/>
        </w:rPr>
      </w:r>
      <w:r w:rsidRPr="0065684E">
        <w:rPr>
          <w:color w:val="000000"/>
          <w:lang w:val="en-GB"/>
        </w:rPr>
        <w:t xml:space="preserv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 the heel is not eligible as a target region. The orthosis is considered adequately offloading when, at each target region, peak pressure with the orthosis is below 200 kPa or is at least 25% lower than at the same region measured without the orthosis at delivery (visit 2). That measurement remains the reference at 6, 12 and 18 months: the condition without the orthosis is repeated at every assessment to document the current unprotected pressure, but it does not replace the reference.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 Both components are individually tailored: the offloading target is defined against that participant's own pressure measured without the orthosis at delivery (visit 2),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three-modality programme combining structured education, motivational interviewing and custom-made indoor footwear did not significantly increase wearing time of custom-made footwear after three months in a comparable high-risk population, although wearing time rose significantly after the indoor footwear was provided and, among participants with low baseline adherence, by a clinically relevant margin after structured education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specific components of a bundled approach can therefore move adherence, though this has not been shown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 measurements are performed over seven consecutive days at baseline and at six months; footwear adherence is assessed primarily at 12 months.</w:t>
      </w:r>
      <w:proofErr w:type="spellEnd"/>
      <w:r w:rsidR="00801D0A" w:rsidRPr="00801D0A">
        <w:rPr>
          <w:color w:val="000000"/>
          <w:lang w:val="en-GB"/>
        </w:rPr>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25 years after the end of the investigation, as agreed with the University Hospitals Leuven Clinical Trial Center and in line with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