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de referentie voor de 25% van deze sessie</w:t>
            </w:r>
          </w:p>
        </w:tc>
        <w:tc>
          <w:tcPr>
            <w:tcW w:type="dxa" w:w="2665"/>
          </w:tcPr>
          <w:p>
            <w:pPr>
              <w:keepNext/>
            </w:pPr>
            <w:r>
              <w:rPr>
                <w:sz w:val="20"/>
                <w:lang w:val="nl-BE"/>
              </w:rPr>
              <w:t>ja, en in Optimal Care opnieuw na elke aanpassing, tot drie aanpassingen</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opnieuw de referentie voor de 25% van deze sessie</w:t>
            </w:r>
          </w:p>
        </w:tc>
        <w:tc>
          <w:tcPr>
            <w:tcW w:type="dxa" w:w="2665"/>
          </w:tcPr>
          <w:p>
            <w:r>
              <w:rPr>
                <w:sz w:val="20"/>
                <w:lang w:val="nl-BE"/>
              </w:rPr>
              <w:t>ja</w:t>
            </w:r>
          </w:p>
        </w:tc>
        <w:tc>
          <w:tcPr>
            <w:tcW w:type="dxa" w:w="1359"/>
          </w:tcPr>
          <w:p>
            <w:r>
              <w:rPr>
                <w:sz w:val="20"/>
                <w:lang w:val="nl-BE"/>
              </w:rPr>
              <w:t>eCRF 24</w:t>
            </w:r>
          </w:p>
        </w:tc>
      </w:tr>
    </w:tbl>
    <w:p/>
    <w:p>
      <w:r>
        <w:rPr>
          <w:lang w:val="nl-BE"/>
        </w:rPr>
        <w:t xml:space="preserve">In Optimal Care meet je op al deze momenten; de meting stuurt de aanpassing van de CMFO. In Usual Care meet je alleen op visite 1 (A) en op maand 6 (visite 4, A en B), geblindeerd (hoofdstuk 10); op visite 2 en op maand 12 en 18 is er in Usual Care geen drukmeting.</w:t>
      </w:r>
    </w:p>
    <w:p>
      <w:r>
        <w:rPr>
          <w:lang w:val="nl-BE"/>
        </w:rPr>
        <w:t>De norm per doelregio: piekdruk mét de CMFO onder 200 kPa, óf minstens 25% lager dan zónder de CMFO in dezelfde sessie.</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 xml:space="preserve">Gebruik in Optimal Care altijd dit palet, voor elke deelnemer en elke visite. Een ander palet geeft dezelfde druk een andere kleur (figuur 4). Voor Usual Care bewaar je een tweede palet, met Pressure Cut Off op 50 kPa (hoofdstuk 10).</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elke meetvisite reken je de 25% tegenover A van dezelfde sessie.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de doelregio’s, hoogstens drie,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boven 200 kPa. Liggen er minder regio’s boven 200 kPa, dan duid je er minder aan. De hiel telt niet mee, tenzij daar de vorige voetzweer zat.</w:t>
      </w:r>
    </w:p>
    <w:p>
      <w:r>
        <w:rPr>
          <w:lang w:val="nl-BE"/>
        </w:rPr>
        <w:t>Regio’s: hiel, mediale middenvoet, laterale middenvoet, metatarsaal 1, metatarsaal 2-3, metatarsaal 4-5, hallux, tenen 2-5. Dezelfde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A van dezelfde sessie: ook gehaald.</w:t>
      </w:r>
    </w:p>
    <w:p>
      <w:r>
        <w:rPr>
          <w:lang w:val="nl-BE"/>
        </w:rPr>
        <w:t>Verlaging in % = (A − B) ÷ A × 100, met A en B uit dezelfde sessie</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Zónder CMFO (A)</w:t>
            </w:r>
          </w:p>
        </w:tc>
        <w:tc>
          <w:tcPr>
            <w:tcW w:type="dxa" w:w="1531"/>
          </w:tcPr>
          <w:p>
            <w:pPr>
              <w:keepNext/>
            </w:pPr>
            <w:r>
              <w:rPr>
                <w:b/>
                <w:color w:val="123A5F"/>
                <w:sz w:val="20"/>
                <w:lang w:val="nl-BE"/>
              </w:rPr>
              <w:t>Mét CMFO (B)</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tot drie aanpassingen (eCRF 24: extra ontlastingstest 1 tot 3).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 xml:space="preserve">In Usual Care meet je alleen op visite 1 en op maand 6. Kies vooraf het tweede palet, met de drempel (Pressure Cut Off) op 50 kPa, en zet de waarden in de cellen uit: zo kan de meting niet sturen en vermijd je bias. Lees niets af en toets niet aan de norm; het studieteam bepaalt de doelregio's en haalt de waarden centraal uit het exportbestand. Toon het scherm niet aan deelnemer of pedorthist, bespreek de meting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doelregio’s per voet, met de piekdruk met zool van de vorige meting en die zonder en met zool van deze sessie; % lager dan zonder zool, Norm gehaald? en de stijging rekenen zelf</w:t>
            </w:r>
          </w:p>
        </w:tc>
      </w:tr>
      <w:tr>
        <w:tc>
          <w:tcPr>
            <w:tcW w:type="dxa" w:w="1247"/>
          </w:tcPr>
          <w:p>
            <w:pPr>
              <w:keepNext/>
            </w:pPr>
            <w:r>
              <w:rPr>
                <w:sz w:val="20"/>
                <w:lang w:val="nl-BE"/>
              </w:rPr>
              <w:t>5</w:t>
            </w:r>
          </w:p>
        </w:tc>
        <w:tc>
          <w:tcPr>
            <w:tcW w:type="dxa" w:w="7540"/>
          </w:tcPr>
          <w:p>
            <w:pPr>
              <w:keepNext/>
            </w:pPr>
            <w:r>
              <w:rPr>
                <w:sz w:val="20"/>
                <w:lang w:val="nl-BE"/>
              </w:rPr>
              <w:t>De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E in blok 4 en 5 is de referentie: de piekdruk zonder zool van deze sessie. Kolom D is de piekdruk met zool van de vorige meting, over te nemen uit eCRF 24b (leeg op visite 2); daarmee rekent kolom I de stijging van 5%.</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 xml:space="preserve">Bus SA, Waaijman R, Arts M, de Haart M, Busch-Westbroek T, van Baal J, Nollet F. Effect of custom-made footwear on foot ulcer recurrence in diabetes: a multicenter randomized controlled trial. Diabetes Care. 2013;36:4109-16. doi:10.2337/dc13-0996. De keuze van de doelregio's (de vorige ulcuslocatie en per voet de twee voor- of middenvoetregio's met de hoogste piekdruk boven 200 kPa), de norm en de drie aanpassingsrondes volgen deze studie.</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